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3441B9" w14:textId="77777777" w:rsidR="000922C7" w:rsidRPr="00CE119F" w:rsidRDefault="000922C7" w:rsidP="00EC736B">
      <w:pPr>
        <w:widowControl w:val="0"/>
        <w:spacing w:line="480" w:lineRule="auto"/>
        <w:rPr>
          <w:rFonts w:ascii="Calibri Light" w:eastAsia="Times New Roman" w:hAnsi="Calibri Light" w:cs="Calibri Light"/>
          <w:sz w:val="44"/>
          <w:szCs w:val="44"/>
        </w:rPr>
      </w:pPr>
    </w:p>
    <w:p w14:paraId="217D7CB6" w14:textId="23AF6B4A" w:rsidR="000922C7" w:rsidRPr="00CE119F" w:rsidRDefault="00CE119F" w:rsidP="00CE119F">
      <w:pPr>
        <w:spacing w:line="240" w:lineRule="auto"/>
        <w:contextualSpacing/>
        <w:rPr>
          <w:rFonts w:ascii="Calibri Light" w:eastAsia="Times New Roman" w:hAnsi="Calibri Light" w:cs="Calibri Light"/>
          <w:sz w:val="32"/>
          <w:szCs w:val="32"/>
        </w:rPr>
      </w:pPr>
      <w:r w:rsidRPr="00CE119F">
        <w:rPr>
          <w:rFonts w:ascii="Calibri Light" w:eastAsia="Times New Roman" w:hAnsi="Calibri Light" w:cs="Calibri Light"/>
          <w:spacing w:val="-10"/>
          <w:kern w:val="28"/>
          <w:sz w:val="32"/>
          <w:szCs w:val="32"/>
          <w:lang w:val="en-US"/>
        </w:rPr>
        <w:t>Senior seminar title</w:t>
      </w:r>
      <w:r w:rsidR="00EC736B" w:rsidRPr="00CE119F">
        <w:rPr>
          <w:rFonts w:ascii="Calibri Light" w:eastAsia="Times New Roman" w:hAnsi="Calibri Light" w:cs="Calibri Light"/>
          <w:sz w:val="32"/>
          <w:szCs w:val="32"/>
        </w:rPr>
        <w:t xml:space="preserve">: </w:t>
      </w:r>
      <w:r w:rsidR="005F49DF" w:rsidRPr="00CE119F">
        <w:rPr>
          <w:rFonts w:ascii="Calibri Light" w:eastAsia="Times New Roman" w:hAnsi="Calibri Light" w:cs="Calibri Light"/>
          <w:sz w:val="32"/>
          <w:szCs w:val="32"/>
        </w:rPr>
        <w:t>Gastric perforation in a mixed breed dog</w:t>
      </w:r>
    </w:p>
    <w:p w14:paraId="1BB3C35C" w14:textId="77777777" w:rsidR="00CE119F" w:rsidRPr="00CE119F" w:rsidRDefault="00CE119F" w:rsidP="00CE119F">
      <w:pPr>
        <w:spacing w:line="240" w:lineRule="auto"/>
        <w:contextualSpacing/>
        <w:rPr>
          <w:rFonts w:ascii="Calibri Light" w:eastAsia="Times New Roman" w:hAnsi="Calibri Light" w:cs="Calibri Light"/>
          <w:spacing w:val="-10"/>
          <w:kern w:val="28"/>
          <w:sz w:val="32"/>
          <w:szCs w:val="32"/>
          <w:lang w:val="en-US"/>
        </w:rPr>
      </w:pPr>
    </w:p>
    <w:p w14:paraId="00000002" w14:textId="2F2E624A" w:rsidR="00970D5C" w:rsidRPr="00CE119F" w:rsidRDefault="005F49DF">
      <w:pPr>
        <w:widowControl w:val="0"/>
        <w:spacing w:line="480" w:lineRule="auto"/>
        <w:rPr>
          <w:rFonts w:ascii="Calibri Light" w:eastAsia="Times New Roman" w:hAnsi="Calibri Light" w:cs="Calibri Light"/>
          <w:color w:val="1F497D" w:themeColor="text2"/>
          <w:sz w:val="28"/>
          <w:szCs w:val="28"/>
        </w:rPr>
      </w:pPr>
      <w:r w:rsidRPr="00CE119F">
        <w:rPr>
          <w:rFonts w:ascii="Calibri Light" w:eastAsia="Times New Roman" w:hAnsi="Calibri Light" w:cs="Calibri Light"/>
          <w:color w:val="1F497D" w:themeColor="text2"/>
          <w:sz w:val="28"/>
          <w:szCs w:val="28"/>
        </w:rPr>
        <w:t xml:space="preserve">Author: Belen </w:t>
      </w:r>
      <w:proofErr w:type="spellStart"/>
      <w:r w:rsidRPr="00CE119F">
        <w:rPr>
          <w:rFonts w:ascii="Calibri Light" w:eastAsia="Times New Roman" w:hAnsi="Calibri Light" w:cs="Calibri Light"/>
          <w:color w:val="1F497D" w:themeColor="text2"/>
          <w:sz w:val="28"/>
          <w:szCs w:val="28"/>
        </w:rPr>
        <w:t>Albarracin</w:t>
      </w:r>
      <w:proofErr w:type="spellEnd"/>
    </w:p>
    <w:p w14:paraId="00000003" w14:textId="77777777" w:rsidR="00970D5C" w:rsidRPr="00CE119F" w:rsidRDefault="005F49DF">
      <w:pPr>
        <w:widowControl w:val="0"/>
        <w:spacing w:line="480" w:lineRule="auto"/>
        <w:rPr>
          <w:rFonts w:ascii="Calibri Light" w:eastAsia="Times New Roman" w:hAnsi="Calibri Light" w:cs="Calibri Light"/>
          <w:color w:val="1F497D" w:themeColor="text2"/>
          <w:sz w:val="28"/>
          <w:szCs w:val="28"/>
        </w:rPr>
      </w:pPr>
      <w:r w:rsidRPr="00CE119F">
        <w:rPr>
          <w:rFonts w:ascii="Calibri Light" w:eastAsia="Times New Roman" w:hAnsi="Calibri Light" w:cs="Calibri Light"/>
          <w:color w:val="1F497D" w:themeColor="text2"/>
          <w:sz w:val="28"/>
          <w:szCs w:val="28"/>
        </w:rPr>
        <w:t xml:space="preserve">Science advisor: Alexandra </w:t>
      </w:r>
      <w:proofErr w:type="spellStart"/>
      <w:r w:rsidRPr="00CE119F">
        <w:rPr>
          <w:rFonts w:ascii="Calibri Light" w:eastAsia="Times New Roman" w:hAnsi="Calibri Light" w:cs="Calibri Light"/>
          <w:color w:val="1F497D" w:themeColor="text2"/>
          <w:sz w:val="28"/>
          <w:szCs w:val="28"/>
        </w:rPr>
        <w:t>Kuvaldina</w:t>
      </w:r>
      <w:proofErr w:type="spellEnd"/>
      <w:r w:rsidRPr="00CE119F">
        <w:rPr>
          <w:rFonts w:ascii="Calibri Light" w:eastAsia="Times New Roman" w:hAnsi="Calibri Light" w:cs="Calibri Light"/>
          <w:color w:val="1F497D" w:themeColor="text2"/>
          <w:sz w:val="28"/>
          <w:szCs w:val="28"/>
        </w:rPr>
        <w:t>, DVM</w:t>
      </w:r>
    </w:p>
    <w:p w14:paraId="00000004" w14:textId="77777777" w:rsidR="00970D5C" w:rsidRPr="00CE119F" w:rsidRDefault="005F49DF">
      <w:pPr>
        <w:widowControl w:val="0"/>
        <w:spacing w:line="480" w:lineRule="auto"/>
        <w:rPr>
          <w:rFonts w:ascii="Calibri Light" w:eastAsia="Times New Roman" w:hAnsi="Calibri Light" w:cs="Calibri Light"/>
          <w:color w:val="1F497D" w:themeColor="text2"/>
          <w:sz w:val="28"/>
          <w:szCs w:val="28"/>
        </w:rPr>
      </w:pPr>
      <w:r w:rsidRPr="00CE119F">
        <w:rPr>
          <w:rFonts w:ascii="Calibri Light" w:eastAsia="Times New Roman" w:hAnsi="Calibri Light" w:cs="Calibri Light"/>
          <w:color w:val="1F497D" w:themeColor="text2"/>
          <w:sz w:val="28"/>
          <w:szCs w:val="28"/>
        </w:rPr>
        <w:t>Clinical Advisor: Daniel Lopez, DVM, DACVS</w:t>
      </w:r>
    </w:p>
    <w:p w14:paraId="00000005" w14:textId="3AB7E53A" w:rsidR="00970D5C" w:rsidRPr="00CE119F" w:rsidRDefault="005F49DF">
      <w:pPr>
        <w:widowControl w:val="0"/>
        <w:spacing w:line="480" w:lineRule="auto"/>
        <w:rPr>
          <w:rFonts w:ascii="Calibri Light" w:eastAsia="Times New Roman" w:hAnsi="Calibri Light" w:cs="Calibri Light"/>
          <w:color w:val="1F497D" w:themeColor="text2"/>
          <w:sz w:val="28"/>
          <w:szCs w:val="28"/>
        </w:rPr>
      </w:pPr>
      <w:r w:rsidRPr="00CE119F">
        <w:rPr>
          <w:rFonts w:ascii="Calibri Light" w:eastAsia="Times New Roman" w:hAnsi="Calibri Light" w:cs="Calibri Light"/>
          <w:color w:val="1F497D" w:themeColor="text2"/>
          <w:sz w:val="28"/>
          <w:szCs w:val="28"/>
        </w:rPr>
        <w:t>Senior Seminar paper</w:t>
      </w:r>
      <w:r w:rsidR="00BA09DB" w:rsidRPr="00CE119F">
        <w:rPr>
          <w:rFonts w:ascii="Calibri Light" w:eastAsia="Times New Roman" w:hAnsi="Calibri Light" w:cs="Calibri Light"/>
          <w:color w:val="1F497D" w:themeColor="text2"/>
          <w:sz w:val="28"/>
          <w:szCs w:val="28"/>
        </w:rPr>
        <w:t xml:space="preserve">, Date of seminar: February 8, 2023 </w:t>
      </w:r>
    </w:p>
    <w:p w14:paraId="00000006" w14:textId="77777777" w:rsidR="00970D5C" w:rsidRPr="00CE119F" w:rsidRDefault="005F49DF">
      <w:pPr>
        <w:widowControl w:val="0"/>
        <w:spacing w:line="480" w:lineRule="auto"/>
        <w:rPr>
          <w:rFonts w:ascii="Calibri Light" w:eastAsia="Times New Roman" w:hAnsi="Calibri Light" w:cs="Calibri Light"/>
          <w:color w:val="1F497D" w:themeColor="text2"/>
          <w:sz w:val="26"/>
          <w:szCs w:val="26"/>
        </w:rPr>
      </w:pPr>
      <w:r w:rsidRPr="00CE119F">
        <w:rPr>
          <w:rFonts w:ascii="Calibri Light" w:eastAsia="Times New Roman" w:hAnsi="Calibri Light" w:cs="Calibri Light"/>
          <w:color w:val="1F497D" w:themeColor="text2"/>
          <w:sz w:val="26"/>
          <w:szCs w:val="26"/>
        </w:rPr>
        <w:t>Cornell University College of Veterinary Medicine</w:t>
      </w:r>
    </w:p>
    <w:p w14:paraId="2F36737E" w14:textId="77777777" w:rsidR="00EC736B" w:rsidRDefault="00EC736B">
      <w:pPr>
        <w:widowControl w:val="0"/>
        <w:spacing w:line="480" w:lineRule="auto"/>
        <w:rPr>
          <w:rFonts w:ascii="Times New Roman" w:eastAsia="Times New Roman" w:hAnsi="Times New Roman" w:cs="Times New Roman"/>
          <w:sz w:val="24"/>
          <w:szCs w:val="24"/>
        </w:rPr>
      </w:pPr>
    </w:p>
    <w:p w14:paraId="3B3A480C" w14:textId="77777777" w:rsidR="00EC736B" w:rsidRDefault="00EC736B">
      <w:pPr>
        <w:widowControl w:val="0"/>
        <w:spacing w:line="480" w:lineRule="auto"/>
        <w:rPr>
          <w:rFonts w:ascii="Times New Roman" w:eastAsia="Times New Roman" w:hAnsi="Times New Roman" w:cs="Times New Roman"/>
          <w:sz w:val="24"/>
          <w:szCs w:val="24"/>
        </w:rPr>
      </w:pPr>
    </w:p>
    <w:p w14:paraId="5A4EBF35" w14:textId="77777777" w:rsidR="00EC736B" w:rsidRDefault="00EC736B">
      <w:pPr>
        <w:widowControl w:val="0"/>
        <w:spacing w:line="480" w:lineRule="auto"/>
        <w:rPr>
          <w:rFonts w:ascii="Times New Roman" w:eastAsia="Times New Roman" w:hAnsi="Times New Roman" w:cs="Times New Roman"/>
          <w:sz w:val="24"/>
          <w:szCs w:val="24"/>
        </w:rPr>
      </w:pPr>
    </w:p>
    <w:p w14:paraId="18120CCB" w14:textId="77777777" w:rsidR="00EC736B" w:rsidRDefault="00EC736B">
      <w:pPr>
        <w:widowControl w:val="0"/>
        <w:spacing w:line="480" w:lineRule="auto"/>
        <w:rPr>
          <w:rFonts w:ascii="Times New Roman" w:eastAsia="Times New Roman" w:hAnsi="Times New Roman" w:cs="Times New Roman"/>
          <w:sz w:val="24"/>
          <w:szCs w:val="24"/>
        </w:rPr>
      </w:pPr>
    </w:p>
    <w:p w14:paraId="0E1BE2FA" w14:textId="77777777" w:rsidR="00EC736B" w:rsidRDefault="00EC736B">
      <w:pPr>
        <w:widowControl w:val="0"/>
        <w:spacing w:line="480" w:lineRule="auto"/>
        <w:rPr>
          <w:rFonts w:ascii="Times New Roman" w:eastAsia="Times New Roman" w:hAnsi="Times New Roman" w:cs="Times New Roman"/>
          <w:sz w:val="24"/>
          <w:szCs w:val="24"/>
        </w:rPr>
      </w:pPr>
    </w:p>
    <w:p w14:paraId="365488E5" w14:textId="77777777" w:rsidR="00EC736B" w:rsidRDefault="00EC736B">
      <w:pPr>
        <w:widowControl w:val="0"/>
        <w:spacing w:line="480" w:lineRule="auto"/>
        <w:rPr>
          <w:rFonts w:ascii="Times New Roman" w:eastAsia="Times New Roman" w:hAnsi="Times New Roman" w:cs="Times New Roman"/>
          <w:sz w:val="24"/>
          <w:szCs w:val="24"/>
        </w:rPr>
      </w:pPr>
    </w:p>
    <w:p w14:paraId="026DE1B2" w14:textId="77777777" w:rsidR="00EC736B" w:rsidRDefault="00EC736B">
      <w:pPr>
        <w:widowControl w:val="0"/>
        <w:spacing w:line="480" w:lineRule="auto"/>
        <w:rPr>
          <w:rFonts w:ascii="Times New Roman" w:eastAsia="Times New Roman" w:hAnsi="Times New Roman" w:cs="Times New Roman"/>
          <w:sz w:val="24"/>
          <w:szCs w:val="24"/>
        </w:rPr>
      </w:pPr>
    </w:p>
    <w:p w14:paraId="3910C816" w14:textId="77777777" w:rsidR="00EC736B" w:rsidRDefault="00EC736B">
      <w:pPr>
        <w:widowControl w:val="0"/>
        <w:spacing w:line="480" w:lineRule="auto"/>
        <w:rPr>
          <w:rFonts w:ascii="Times New Roman" w:eastAsia="Times New Roman" w:hAnsi="Times New Roman" w:cs="Times New Roman"/>
          <w:sz w:val="24"/>
          <w:szCs w:val="24"/>
        </w:rPr>
      </w:pPr>
    </w:p>
    <w:p w14:paraId="3EF5BAB5" w14:textId="77777777" w:rsidR="00EC736B" w:rsidRDefault="00EC736B">
      <w:pPr>
        <w:widowControl w:val="0"/>
        <w:spacing w:line="480" w:lineRule="auto"/>
        <w:rPr>
          <w:rFonts w:ascii="Times New Roman" w:eastAsia="Times New Roman" w:hAnsi="Times New Roman" w:cs="Times New Roman"/>
          <w:sz w:val="24"/>
          <w:szCs w:val="24"/>
        </w:rPr>
      </w:pPr>
    </w:p>
    <w:p w14:paraId="060B6177" w14:textId="77777777" w:rsidR="00EC736B" w:rsidRDefault="00EC736B">
      <w:pPr>
        <w:widowControl w:val="0"/>
        <w:spacing w:line="480" w:lineRule="auto"/>
        <w:rPr>
          <w:rFonts w:ascii="Times New Roman" w:eastAsia="Times New Roman" w:hAnsi="Times New Roman" w:cs="Times New Roman"/>
          <w:sz w:val="24"/>
          <w:szCs w:val="24"/>
        </w:rPr>
      </w:pPr>
    </w:p>
    <w:p w14:paraId="019F8691" w14:textId="77777777" w:rsidR="00EC736B" w:rsidRDefault="00EC736B">
      <w:pPr>
        <w:widowControl w:val="0"/>
        <w:spacing w:line="480" w:lineRule="auto"/>
        <w:rPr>
          <w:rFonts w:ascii="Times New Roman" w:eastAsia="Times New Roman" w:hAnsi="Times New Roman" w:cs="Times New Roman"/>
          <w:sz w:val="24"/>
          <w:szCs w:val="24"/>
        </w:rPr>
      </w:pPr>
    </w:p>
    <w:p w14:paraId="090BC5C9" w14:textId="77777777" w:rsidR="00CE119F" w:rsidRPr="00CE119F" w:rsidRDefault="005F49DF">
      <w:pPr>
        <w:widowControl w:val="0"/>
        <w:spacing w:line="480" w:lineRule="auto"/>
        <w:rPr>
          <w:rFonts w:ascii="Calibri Light" w:eastAsia="Times New Roman" w:hAnsi="Calibri Light" w:cs="Calibri Light"/>
          <w:sz w:val="32"/>
          <w:szCs w:val="32"/>
        </w:rPr>
      </w:pPr>
      <w:r w:rsidRPr="00CE119F">
        <w:rPr>
          <w:rFonts w:ascii="Calibri Light" w:eastAsia="Times New Roman" w:hAnsi="Calibri Light" w:cs="Calibri Light"/>
          <w:color w:val="1F497D" w:themeColor="text2"/>
          <w:sz w:val="32"/>
          <w:szCs w:val="32"/>
        </w:rPr>
        <w:t>Keywords</w:t>
      </w:r>
    </w:p>
    <w:p w14:paraId="1C4420C2" w14:textId="77777777" w:rsidR="00CE119F" w:rsidRDefault="005F49DF">
      <w:pPr>
        <w:widowControl w:val="0"/>
        <w:spacing w:line="480" w:lineRule="auto"/>
        <w:rPr>
          <w:rFonts w:ascii="Calibri" w:eastAsia="Times New Roman" w:hAnsi="Calibri" w:cs="Times New Roman"/>
          <w:sz w:val="24"/>
          <w:szCs w:val="24"/>
        </w:rPr>
      </w:pPr>
      <w:r w:rsidRPr="00CE119F">
        <w:rPr>
          <w:rFonts w:ascii="Calibri" w:eastAsia="Times New Roman" w:hAnsi="Calibri" w:cs="Times New Roman"/>
          <w:sz w:val="24"/>
          <w:szCs w:val="24"/>
        </w:rPr>
        <w:t>Gastric perforation,</w:t>
      </w:r>
      <w:r w:rsidR="00066CCF" w:rsidRPr="00CE119F">
        <w:rPr>
          <w:rFonts w:ascii="Calibri" w:hAnsi="Calibri"/>
        </w:rPr>
        <w:t xml:space="preserve"> </w:t>
      </w:r>
      <w:r w:rsidR="00066CCF" w:rsidRPr="00CE119F">
        <w:rPr>
          <w:rFonts w:ascii="Calibri" w:eastAsia="Times New Roman" w:hAnsi="Calibri" w:cs="Times New Roman"/>
          <w:sz w:val="24"/>
          <w:szCs w:val="24"/>
        </w:rPr>
        <w:t>Non-steroidal anti-inflammatory drugs</w:t>
      </w:r>
      <w:r w:rsidRPr="00CE119F">
        <w:rPr>
          <w:rFonts w:ascii="Calibri" w:eastAsia="Times New Roman" w:hAnsi="Calibri" w:cs="Times New Roman"/>
          <w:sz w:val="24"/>
          <w:szCs w:val="24"/>
        </w:rPr>
        <w:t xml:space="preserve"> </w:t>
      </w:r>
      <w:r w:rsidR="00066CCF" w:rsidRPr="00CE119F">
        <w:rPr>
          <w:rFonts w:ascii="Calibri" w:eastAsia="Times New Roman" w:hAnsi="Calibri" w:cs="Times New Roman"/>
          <w:sz w:val="24"/>
          <w:szCs w:val="24"/>
        </w:rPr>
        <w:t>(</w:t>
      </w:r>
      <w:r w:rsidRPr="00CE119F">
        <w:rPr>
          <w:rFonts w:ascii="Calibri" w:eastAsia="Times New Roman" w:hAnsi="Calibri" w:cs="Times New Roman"/>
          <w:sz w:val="24"/>
          <w:szCs w:val="24"/>
        </w:rPr>
        <w:t>NSAID</w:t>
      </w:r>
      <w:r w:rsidR="00066CCF" w:rsidRPr="00CE119F">
        <w:rPr>
          <w:rFonts w:ascii="Calibri" w:eastAsia="Times New Roman" w:hAnsi="Calibri" w:cs="Times New Roman"/>
          <w:sz w:val="24"/>
          <w:szCs w:val="24"/>
        </w:rPr>
        <w:t>)</w:t>
      </w:r>
      <w:r w:rsidRPr="00CE119F">
        <w:rPr>
          <w:rFonts w:ascii="Calibri" w:eastAsia="Times New Roman" w:hAnsi="Calibri" w:cs="Times New Roman"/>
          <w:sz w:val="24"/>
          <w:szCs w:val="24"/>
        </w:rPr>
        <w:t>, septic peritonitis</w:t>
      </w:r>
      <w:r w:rsidR="00066CCF" w:rsidRPr="00CE119F">
        <w:rPr>
          <w:rFonts w:ascii="Calibri" w:eastAsia="Times New Roman" w:hAnsi="Calibri" w:cs="Times New Roman"/>
          <w:sz w:val="24"/>
          <w:szCs w:val="24"/>
        </w:rPr>
        <w:t xml:space="preserve">, meloxicam </w:t>
      </w:r>
    </w:p>
    <w:p w14:paraId="00000009" w14:textId="5B02FA2B" w:rsidR="00970D5C" w:rsidRPr="00CE119F" w:rsidRDefault="005F49DF">
      <w:pPr>
        <w:widowControl w:val="0"/>
        <w:spacing w:line="480" w:lineRule="auto"/>
        <w:rPr>
          <w:rFonts w:ascii="Calibri Light" w:eastAsia="Times New Roman" w:hAnsi="Calibri Light" w:cs="Calibri Light"/>
          <w:color w:val="1F497D" w:themeColor="text2"/>
          <w:sz w:val="32"/>
          <w:szCs w:val="32"/>
        </w:rPr>
      </w:pPr>
      <w:r w:rsidRPr="00CE119F">
        <w:rPr>
          <w:rFonts w:ascii="Calibri Light" w:eastAsia="Times New Roman" w:hAnsi="Calibri Light" w:cs="Calibri Light"/>
          <w:color w:val="1F497D" w:themeColor="text2"/>
          <w:sz w:val="32"/>
          <w:szCs w:val="32"/>
        </w:rPr>
        <w:lastRenderedPageBreak/>
        <w:t>Abstract</w:t>
      </w:r>
    </w:p>
    <w:p w14:paraId="0000000A" w14:textId="77777777" w:rsidR="00970D5C" w:rsidRPr="00CE119F" w:rsidRDefault="005F49DF">
      <w:pPr>
        <w:widowControl w:val="0"/>
        <w:spacing w:line="480" w:lineRule="auto"/>
        <w:rPr>
          <w:rFonts w:ascii="Calibri" w:eastAsia="Times New Roman" w:hAnsi="Calibri" w:cs="Times New Roman"/>
          <w:sz w:val="24"/>
          <w:szCs w:val="24"/>
        </w:rPr>
      </w:pPr>
      <w:r w:rsidRPr="00CE119F">
        <w:rPr>
          <w:rFonts w:ascii="Calibri" w:eastAsia="Times New Roman" w:hAnsi="Calibri" w:cs="Times New Roman"/>
          <w:sz w:val="24"/>
          <w:szCs w:val="24"/>
        </w:rPr>
        <w:t xml:space="preserve">A six-year-old male neutered mixed-breed dog was presented to the Cornell University Hospital for Animals emergency service for muscle fasciculations, stiffness, acute anorexia, and lethargy. The patient had a history of non-steroidal anti-inflammatory drug (NSAID) use for severe wounds. He was treated with antibiotics and oral meloxicam at 0.1mg/kg for approximately two weeks. On presentation, the patient had a kyphotic posture, and was mildly febrile and tachycardic. Physical exam revealed a tensed abdomen and tarry fecal material was evident on rectal palpation. Gastrointestinal-focused abdominal ultrasound identified thickening of the gastric wall as well as free fluid and gas in the abdomen. These findings along with a history of NSAID administration led to a presumptive diagnosis of gastrointestinal perforation. This diagnosis was confirmed with exploratory laparotomy. Surgical intervention consisted of excision of the edges of the perforation and primary repair. The patient was hospitalized for 2 days post-surgery. Two days after discharge, the patient represented to the emergency service for anorexia, vomiting, and abdominal incision complications. Dehiscence of the perforation </w:t>
      </w:r>
      <w:proofErr w:type="spellStart"/>
      <w:r w:rsidRPr="00CE119F">
        <w:rPr>
          <w:rFonts w:ascii="Calibri" w:eastAsia="Times New Roman" w:hAnsi="Calibri" w:cs="Times New Roman"/>
          <w:sz w:val="24"/>
          <w:szCs w:val="24"/>
        </w:rPr>
        <w:t>oversew</w:t>
      </w:r>
      <w:proofErr w:type="spellEnd"/>
      <w:r w:rsidRPr="00CE119F">
        <w:rPr>
          <w:rFonts w:ascii="Calibri" w:eastAsia="Times New Roman" w:hAnsi="Calibri" w:cs="Times New Roman"/>
          <w:sz w:val="24"/>
          <w:szCs w:val="24"/>
        </w:rPr>
        <w:t xml:space="preserve"> was highly suspected and confirmed with a second exploratory laparotomy. Euthanasia was elected due to the extent of the lesion, critical condition of the patient, and poor to guarded prognosis.</w:t>
      </w:r>
    </w:p>
    <w:p w14:paraId="0000000B" w14:textId="77777777" w:rsidR="00970D5C" w:rsidRPr="00CE119F" w:rsidRDefault="005F49DF">
      <w:pPr>
        <w:widowControl w:val="0"/>
        <w:spacing w:line="480" w:lineRule="auto"/>
        <w:rPr>
          <w:rFonts w:ascii="Calibri Light" w:eastAsia="Times New Roman" w:hAnsi="Calibri Light" w:cs="Calibri Light"/>
          <w:color w:val="1F497D" w:themeColor="text2"/>
          <w:sz w:val="32"/>
          <w:szCs w:val="32"/>
        </w:rPr>
      </w:pPr>
      <w:r w:rsidRPr="00CE119F">
        <w:rPr>
          <w:rFonts w:ascii="Calibri Light" w:eastAsia="Times New Roman" w:hAnsi="Calibri Light" w:cs="Calibri Light"/>
          <w:color w:val="1F497D" w:themeColor="text2"/>
          <w:sz w:val="32"/>
          <w:szCs w:val="32"/>
        </w:rPr>
        <w:t>Case history</w:t>
      </w:r>
    </w:p>
    <w:p w14:paraId="0000000C" w14:textId="446F6D9E" w:rsidR="00970D5C" w:rsidRPr="00CE119F" w:rsidRDefault="005F49DF">
      <w:pPr>
        <w:widowControl w:val="0"/>
        <w:spacing w:line="480" w:lineRule="auto"/>
        <w:ind w:firstLine="720"/>
        <w:rPr>
          <w:rFonts w:ascii="Calibri" w:eastAsia="Times New Roman" w:hAnsi="Calibri" w:cs="Times New Roman"/>
          <w:sz w:val="24"/>
          <w:szCs w:val="24"/>
        </w:rPr>
      </w:pPr>
      <w:r w:rsidRPr="00CE119F">
        <w:rPr>
          <w:rFonts w:ascii="Calibri" w:eastAsia="Times New Roman" w:hAnsi="Calibri" w:cs="Times New Roman"/>
          <w:sz w:val="24"/>
          <w:szCs w:val="24"/>
        </w:rPr>
        <w:t xml:space="preserve">A six-year-old male neutered mixed-breed dog presented to Cornell’s emergency service for muscle fasciculations, stiffness, acute anorexia and lethargy. The night before presentation to </w:t>
      </w:r>
      <w:r w:rsidR="00066CCF" w:rsidRPr="00CE119F">
        <w:rPr>
          <w:rFonts w:ascii="Calibri" w:eastAsia="Times New Roman" w:hAnsi="Calibri" w:cs="Times New Roman"/>
          <w:sz w:val="24"/>
          <w:szCs w:val="24"/>
        </w:rPr>
        <w:t>Cornell University Hospital for Animals (</w:t>
      </w:r>
      <w:r w:rsidRPr="00CE119F">
        <w:rPr>
          <w:rFonts w:ascii="Calibri" w:eastAsia="Times New Roman" w:hAnsi="Calibri" w:cs="Times New Roman"/>
          <w:sz w:val="24"/>
          <w:szCs w:val="24"/>
        </w:rPr>
        <w:t>CUHA</w:t>
      </w:r>
      <w:r w:rsidR="00066CCF" w:rsidRPr="00CE119F">
        <w:rPr>
          <w:rFonts w:ascii="Calibri" w:eastAsia="Times New Roman" w:hAnsi="Calibri" w:cs="Times New Roman"/>
          <w:sz w:val="24"/>
          <w:szCs w:val="24"/>
        </w:rPr>
        <w:t>)</w:t>
      </w:r>
      <w:r w:rsidRPr="00CE119F">
        <w:rPr>
          <w:rFonts w:ascii="Calibri" w:eastAsia="Times New Roman" w:hAnsi="Calibri" w:cs="Times New Roman"/>
          <w:sz w:val="24"/>
          <w:szCs w:val="24"/>
        </w:rPr>
        <w:t xml:space="preserve">, the patient ate many treats but was not </w:t>
      </w:r>
      <w:r w:rsidRPr="00CE119F">
        <w:rPr>
          <w:rFonts w:ascii="Calibri" w:eastAsia="Times New Roman" w:hAnsi="Calibri" w:cs="Times New Roman"/>
          <w:sz w:val="24"/>
          <w:szCs w:val="24"/>
        </w:rPr>
        <w:lastRenderedPageBreak/>
        <w:t xml:space="preserve">interested in his regular food. Approximately 30 minutes later, he started to have small tremors all over his body; that evening he seemed restless, had a hunched posture with tail tucked, and stiff forelimbs. Overnight, he vomited twice, the first one contained a large volume containing food material and the second one was a clear liquid. The following morning, he did not eat and consumed only a small amount of water. Overall, his mentation was quieter than usual, and he seemed uncomfortable, with difficulty walking and jumping. </w:t>
      </w:r>
    </w:p>
    <w:p w14:paraId="0000000D" w14:textId="12CC5ED1" w:rsidR="00970D5C" w:rsidRPr="00CE119F" w:rsidRDefault="005F49DF">
      <w:pPr>
        <w:widowControl w:val="0"/>
        <w:spacing w:line="480" w:lineRule="auto"/>
        <w:ind w:firstLine="720"/>
        <w:rPr>
          <w:rFonts w:ascii="Calibri" w:eastAsia="Times New Roman" w:hAnsi="Calibri" w:cs="Times New Roman"/>
          <w:sz w:val="24"/>
          <w:szCs w:val="24"/>
        </w:rPr>
      </w:pPr>
      <w:r w:rsidRPr="00CE119F">
        <w:rPr>
          <w:rFonts w:ascii="Calibri" w:eastAsia="Times New Roman" w:hAnsi="Calibri" w:cs="Times New Roman"/>
          <w:sz w:val="24"/>
          <w:szCs w:val="24"/>
        </w:rPr>
        <w:t xml:space="preserve">He had a previous history of severe dog bite wounds that was being managed by </w:t>
      </w:r>
      <w:r w:rsidR="00066CCF" w:rsidRPr="00CE119F">
        <w:rPr>
          <w:rFonts w:ascii="Calibri" w:eastAsia="Times New Roman" w:hAnsi="Calibri" w:cs="Times New Roman"/>
          <w:sz w:val="24"/>
          <w:szCs w:val="24"/>
        </w:rPr>
        <w:t>Cornell</w:t>
      </w:r>
      <w:r w:rsidRPr="00CE119F">
        <w:rPr>
          <w:rFonts w:ascii="Calibri" w:eastAsia="Times New Roman" w:hAnsi="Calibri" w:cs="Times New Roman"/>
          <w:sz w:val="24"/>
          <w:szCs w:val="24"/>
        </w:rPr>
        <w:t xml:space="preserve"> </w:t>
      </w:r>
      <w:r w:rsidR="00066CCF" w:rsidRPr="00CE119F">
        <w:rPr>
          <w:rFonts w:ascii="Calibri" w:eastAsia="Times New Roman" w:hAnsi="Calibri" w:cs="Times New Roman"/>
          <w:sz w:val="24"/>
          <w:szCs w:val="24"/>
        </w:rPr>
        <w:t>s</w:t>
      </w:r>
      <w:r w:rsidRPr="00CE119F">
        <w:rPr>
          <w:rFonts w:ascii="Calibri" w:eastAsia="Times New Roman" w:hAnsi="Calibri" w:cs="Times New Roman"/>
          <w:sz w:val="24"/>
          <w:szCs w:val="24"/>
        </w:rPr>
        <w:t xml:space="preserve">oft </w:t>
      </w:r>
      <w:r w:rsidR="00066CCF" w:rsidRPr="00CE119F">
        <w:rPr>
          <w:rFonts w:ascii="Calibri" w:eastAsia="Times New Roman" w:hAnsi="Calibri" w:cs="Times New Roman"/>
          <w:sz w:val="24"/>
          <w:szCs w:val="24"/>
        </w:rPr>
        <w:t>t</w:t>
      </w:r>
      <w:r w:rsidRPr="00CE119F">
        <w:rPr>
          <w:rFonts w:ascii="Calibri" w:eastAsia="Times New Roman" w:hAnsi="Calibri" w:cs="Times New Roman"/>
          <w:sz w:val="24"/>
          <w:szCs w:val="24"/>
        </w:rPr>
        <w:t xml:space="preserve">issue </w:t>
      </w:r>
      <w:r w:rsidR="00066CCF" w:rsidRPr="00CE119F">
        <w:rPr>
          <w:rFonts w:ascii="Calibri" w:eastAsia="Times New Roman" w:hAnsi="Calibri" w:cs="Times New Roman"/>
          <w:sz w:val="24"/>
          <w:szCs w:val="24"/>
        </w:rPr>
        <w:t>s</w:t>
      </w:r>
      <w:r w:rsidRPr="00CE119F">
        <w:rPr>
          <w:rFonts w:ascii="Calibri" w:eastAsia="Times New Roman" w:hAnsi="Calibri" w:cs="Times New Roman"/>
          <w:sz w:val="24"/>
          <w:szCs w:val="24"/>
        </w:rPr>
        <w:t>urgery service. He was treated with a 2-week course of antibiotics (</w:t>
      </w:r>
      <w:r w:rsidR="00066CCF" w:rsidRPr="00CE119F">
        <w:rPr>
          <w:rFonts w:ascii="Calibri" w:eastAsia="Times New Roman" w:hAnsi="Calibri" w:cs="Times New Roman"/>
          <w:sz w:val="24"/>
          <w:szCs w:val="24"/>
        </w:rPr>
        <w:t>amoxicillin clavulanate</w:t>
      </w:r>
      <w:r w:rsidRPr="00CE119F">
        <w:rPr>
          <w:rFonts w:ascii="Calibri" w:eastAsia="Times New Roman" w:hAnsi="Calibri" w:cs="Times New Roman"/>
          <w:sz w:val="24"/>
          <w:szCs w:val="24"/>
        </w:rPr>
        <w:t xml:space="preserve"> 375 mg PO q 12 hours) with the last dose given a day before presentation. His pain was managed with </w:t>
      </w:r>
      <w:r w:rsidR="00066CCF" w:rsidRPr="00CE119F">
        <w:rPr>
          <w:rFonts w:ascii="Calibri" w:eastAsia="Times New Roman" w:hAnsi="Calibri" w:cs="Times New Roman"/>
          <w:sz w:val="24"/>
          <w:szCs w:val="24"/>
        </w:rPr>
        <w:t>m</w:t>
      </w:r>
      <w:r w:rsidRPr="00CE119F">
        <w:rPr>
          <w:rFonts w:ascii="Calibri" w:eastAsia="Times New Roman" w:hAnsi="Calibri" w:cs="Times New Roman"/>
          <w:sz w:val="24"/>
          <w:szCs w:val="24"/>
        </w:rPr>
        <w:t xml:space="preserve">eloxicam 0.1 mg/kg PO q 24 hours for 2 weeks and was last administered 2 days before presentation. Additionally, he had a history of seizures that </w:t>
      </w:r>
      <w:r w:rsidR="00066CCF" w:rsidRPr="00CE119F">
        <w:rPr>
          <w:rFonts w:ascii="Calibri" w:eastAsia="Times New Roman" w:hAnsi="Calibri" w:cs="Times New Roman"/>
          <w:sz w:val="24"/>
          <w:szCs w:val="24"/>
        </w:rPr>
        <w:t>were</w:t>
      </w:r>
      <w:r w:rsidRPr="00CE119F">
        <w:rPr>
          <w:rFonts w:ascii="Calibri" w:eastAsia="Times New Roman" w:hAnsi="Calibri" w:cs="Times New Roman"/>
          <w:sz w:val="24"/>
          <w:szCs w:val="24"/>
        </w:rPr>
        <w:t xml:space="preserve"> well-managed on </w:t>
      </w:r>
      <w:proofErr w:type="spellStart"/>
      <w:r w:rsidRPr="00CE119F">
        <w:rPr>
          <w:rFonts w:ascii="Calibri" w:eastAsia="Times New Roman" w:hAnsi="Calibri" w:cs="Times New Roman"/>
          <w:sz w:val="24"/>
          <w:szCs w:val="24"/>
        </w:rPr>
        <w:t>zonisamide</w:t>
      </w:r>
      <w:proofErr w:type="spellEnd"/>
      <w:r w:rsidRPr="00CE119F">
        <w:rPr>
          <w:rFonts w:ascii="Calibri" w:eastAsia="Times New Roman" w:hAnsi="Calibri" w:cs="Times New Roman"/>
          <w:sz w:val="24"/>
          <w:szCs w:val="24"/>
        </w:rPr>
        <w:t xml:space="preserve"> and left eye blindness. He had a known </w:t>
      </w:r>
      <w:r w:rsidR="00066CCF" w:rsidRPr="00CE119F">
        <w:rPr>
          <w:rFonts w:ascii="Calibri" w:eastAsia="Times New Roman" w:hAnsi="Calibri" w:cs="Times New Roman"/>
          <w:sz w:val="24"/>
          <w:szCs w:val="24"/>
        </w:rPr>
        <w:t>g</w:t>
      </w:r>
      <w:r w:rsidRPr="00CE119F">
        <w:rPr>
          <w:rFonts w:ascii="Calibri" w:eastAsia="Times New Roman" w:hAnsi="Calibri" w:cs="Times New Roman"/>
          <w:sz w:val="24"/>
          <w:szCs w:val="24"/>
        </w:rPr>
        <w:t xml:space="preserve">abapentin reaction described as body tremors. </w:t>
      </w:r>
    </w:p>
    <w:p w14:paraId="0000000E" w14:textId="77777777" w:rsidR="00970D5C" w:rsidRPr="00CE119F" w:rsidRDefault="005F49DF">
      <w:pPr>
        <w:widowControl w:val="0"/>
        <w:spacing w:line="480" w:lineRule="auto"/>
        <w:rPr>
          <w:rFonts w:ascii="Calibri Light" w:eastAsia="Times New Roman" w:hAnsi="Calibri Light" w:cs="Calibri Light"/>
          <w:color w:val="1F497D" w:themeColor="text2"/>
          <w:sz w:val="32"/>
          <w:szCs w:val="32"/>
        </w:rPr>
      </w:pPr>
      <w:r w:rsidRPr="00CE119F">
        <w:rPr>
          <w:rFonts w:ascii="Calibri Light" w:eastAsia="Times New Roman" w:hAnsi="Calibri Light" w:cs="Calibri Light"/>
          <w:color w:val="1F497D" w:themeColor="text2"/>
          <w:sz w:val="32"/>
          <w:szCs w:val="32"/>
        </w:rPr>
        <w:t>Clinical findings</w:t>
      </w:r>
    </w:p>
    <w:p w14:paraId="0000000F" w14:textId="0FD68AB6" w:rsidR="00970D5C" w:rsidRPr="00CE119F" w:rsidRDefault="005F49DF">
      <w:pPr>
        <w:widowControl w:val="0"/>
        <w:spacing w:line="480" w:lineRule="auto"/>
        <w:ind w:firstLine="720"/>
        <w:rPr>
          <w:rFonts w:ascii="Calibri" w:eastAsia="Times New Roman" w:hAnsi="Calibri" w:cs="Times New Roman"/>
          <w:sz w:val="24"/>
          <w:szCs w:val="24"/>
        </w:rPr>
      </w:pPr>
      <w:r w:rsidRPr="00CE119F">
        <w:rPr>
          <w:rFonts w:ascii="Calibri" w:eastAsia="Times New Roman" w:hAnsi="Calibri" w:cs="Times New Roman"/>
          <w:sz w:val="24"/>
          <w:szCs w:val="24"/>
        </w:rPr>
        <w:t>On presentation, the patient was quiet, alert, and responsive. He was reluctant to walk and had a mildly kyphotic posture with low head carriage. He was mildly febrile (103.3F)</w:t>
      </w:r>
      <w:r w:rsidR="00066CCF" w:rsidRPr="00CE119F">
        <w:rPr>
          <w:rFonts w:ascii="Calibri" w:eastAsia="Times New Roman" w:hAnsi="Calibri" w:cs="Times New Roman"/>
          <w:sz w:val="24"/>
          <w:szCs w:val="24"/>
        </w:rPr>
        <w:t xml:space="preserve"> and </w:t>
      </w:r>
      <w:r w:rsidRPr="00CE119F">
        <w:rPr>
          <w:rFonts w:ascii="Calibri" w:eastAsia="Times New Roman" w:hAnsi="Calibri" w:cs="Times New Roman"/>
          <w:sz w:val="24"/>
          <w:szCs w:val="24"/>
        </w:rPr>
        <w:t>tachycardic (140 BPM), and his muc</w:t>
      </w:r>
      <w:r w:rsidR="00C14F9F" w:rsidRPr="00CE119F">
        <w:rPr>
          <w:rFonts w:ascii="Calibri" w:eastAsia="Times New Roman" w:hAnsi="Calibri" w:cs="Times New Roman"/>
          <w:sz w:val="24"/>
          <w:szCs w:val="24"/>
        </w:rPr>
        <w:t>o</w:t>
      </w:r>
      <w:r w:rsidRPr="00CE119F">
        <w:rPr>
          <w:rFonts w:ascii="Calibri" w:eastAsia="Times New Roman" w:hAnsi="Calibri" w:cs="Times New Roman"/>
          <w:sz w:val="24"/>
          <w:szCs w:val="24"/>
        </w:rPr>
        <w:t>us membranes were light pink. On a physical exam, his abdomen was tense but non-painful. A dark tarry fecal material was evident on rectal palpation. No other abnormalities were observed.</w:t>
      </w:r>
    </w:p>
    <w:p w14:paraId="00000010" w14:textId="77777777" w:rsidR="00970D5C" w:rsidRPr="00CE119F" w:rsidRDefault="005F49DF">
      <w:pPr>
        <w:widowControl w:val="0"/>
        <w:spacing w:line="480" w:lineRule="auto"/>
        <w:rPr>
          <w:rFonts w:ascii="Calibri" w:eastAsia="Times New Roman" w:hAnsi="Calibri" w:cs="Times New Roman"/>
          <w:bCs/>
          <w:color w:val="1F497D" w:themeColor="text2"/>
          <w:sz w:val="32"/>
          <w:szCs w:val="32"/>
        </w:rPr>
      </w:pPr>
      <w:r w:rsidRPr="00CE119F">
        <w:rPr>
          <w:rFonts w:ascii="Calibri" w:eastAsia="Times New Roman" w:hAnsi="Calibri" w:cs="Times New Roman"/>
          <w:bCs/>
          <w:color w:val="1F497D" w:themeColor="text2"/>
          <w:sz w:val="32"/>
          <w:szCs w:val="32"/>
        </w:rPr>
        <w:t>Diagnostics</w:t>
      </w:r>
    </w:p>
    <w:p w14:paraId="00000011" w14:textId="5AC23F49" w:rsidR="00970D5C" w:rsidRPr="00CE119F" w:rsidRDefault="005F49DF">
      <w:pPr>
        <w:widowControl w:val="0"/>
        <w:spacing w:line="480" w:lineRule="auto"/>
        <w:ind w:firstLine="720"/>
        <w:rPr>
          <w:rFonts w:ascii="Calibri" w:eastAsia="Times New Roman" w:hAnsi="Calibri" w:cs="Times New Roman"/>
          <w:sz w:val="24"/>
          <w:szCs w:val="24"/>
        </w:rPr>
      </w:pPr>
      <w:r w:rsidRPr="00CE119F">
        <w:rPr>
          <w:rFonts w:ascii="Calibri" w:eastAsia="Times New Roman" w:hAnsi="Calibri" w:cs="Times New Roman"/>
          <w:sz w:val="24"/>
          <w:szCs w:val="24"/>
        </w:rPr>
        <w:t xml:space="preserve">Initial point-of-care blood work revealed a mild metabolic acidosis with compensatory </w:t>
      </w:r>
      <w:r w:rsidRPr="00CE119F">
        <w:rPr>
          <w:rFonts w:ascii="Calibri" w:eastAsia="Times New Roman" w:hAnsi="Calibri" w:cs="Times New Roman"/>
          <w:sz w:val="24"/>
          <w:szCs w:val="24"/>
        </w:rPr>
        <w:lastRenderedPageBreak/>
        <w:t xml:space="preserve">respiratory alkalosis, mild electrolyte abnormalities (hyponatremia, hypokalemia), and lactate of 1.29mmol/L </w:t>
      </w:r>
      <w:r w:rsidR="00066CCF" w:rsidRPr="00CE119F">
        <w:rPr>
          <w:rFonts w:ascii="Calibri" w:eastAsia="Times New Roman" w:hAnsi="Calibri" w:cs="Times New Roman"/>
          <w:sz w:val="24"/>
          <w:szCs w:val="24"/>
        </w:rPr>
        <w:t>(</w:t>
      </w:r>
      <w:r w:rsidR="00066CCF" w:rsidRPr="00CE119F">
        <w:rPr>
          <w:rFonts w:ascii="Calibri" w:eastAsia="Times New Roman" w:hAnsi="Calibri" w:cs="Times New Roman"/>
          <w:sz w:val="24"/>
          <w:szCs w:val="24"/>
        </w:rPr>
        <w:t>reference range</w:t>
      </w:r>
      <w:r w:rsidR="00066CCF" w:rsidRPr="00CE119F">
        <w:rPr>
          <w:rFonts w:ascii="Calibri" w:eastAsia="Times New Roman" w:hAnsi="Calibri" w:cs="Times New Roman"/>
          <w:sz w:val="24"/>
          <w:szCs w:val="24"/>
        </w:rPr>
        <w:t xml:space="preserve"> </w:t>
      </w:r>
      <w:r w:rsidRPr="00CE119F">
        <w:rPr>
          <w:rFonts w:ascii="Calibri" w:eastAsia="Times New Roman" w:hAnsi="Calibri" w:cs="Times New Roman"/>
          <w:sz w:val="24"/>
          <w:szCs w:val="24"/>
        </w:rPr>
        <w:t>&lt;2.0 mmol/l).  Abdominal focused assessment with sonography for trauma (AFAST) did not reveal any abnormalities. On the chemistry panel, there was a mild hypokalemia, hypocalcemia, hypomagnesemia, low albumin, and mildly increased ALP, with normal</w:t>
      </w:r>
      <w:r w:rsidR="005D17E3" w:rsidRPr="00CE119F">
        <w:rPr>
          <w:rFonts w:ascii="Calibri" w:eastAsia="Times New Roman" w:hAnsi="Calibri" w:cs="Times New Roman"/>
          <w:sz w:val="24"/>
          <w:szCs w:val="24"/>
        </w:rPr>
        <w:t xml:space="preserve"> blood urea nitrogen </w:t>
      </w:r>
      <w:r w:rsidRPr="00CE119F">
        <w:rPr>
          <w:rFonts w:ascii="Calibri" w:eastAsia="Times New Roman" w:hAnsi="Calibri" w:cs="Times New Roman"/>
          <w:sz w:val="24"/>
          <w:szCs w:val="24"/>
        </w:rPr>
        <w:t xml:space="preserve">and creatinine levels. A complete blood count (CBC) revealed an inflammatory leukogram characterized by a neutrophilia with a left shift and toxic change. </w:t>
      </w:r>
    </w:p>
    <w:p w14:paraId="00000012" w14:textId="1269DDE3" w:rsidR="00970D5C" w:rsidRPr="00CE119F" w:rsidRDefault="005F49DF">
      <w:pPr>
        <w:widowControl w:val="0"/>
        <w:spacing w:line="480" w:lineRule="auto"/>
        <w:ind w:firstLine="720"/>
        <w:rPr>
          <w:rFonts w:ascii="Calibri" w:eastAsia="Times New Roman" w:hAnsi="Calibri" w:cs="Times New Roman"/>
          <w:sz w:val="24"/>
          <w:szCs w:val="24"/>
        </w:rPr>
      </w:pPr>
      <w:r w:rsidRPr="00CE119F">
        <w:rPr>
          <w:rFonts w:ascii="Calibri" w:eastAsia="Times New Roman" w:hAnsi="Calibri" w:cs="Times New Roman"/>
          <w:sz w:val="24"/>
          <w:szCs w:val="24"/>
        </w:rPr>
        <w:t>Gastrointestinal-focused abdominal ultrasound identified thickening of the caudal gastric wall with complete loss of normal wall with linear regions of gas streaking extending from the lumen into the wall. Within the peritoneum, multiple, small, free gas foci were identified immediately caudal to the stomach. The mesentery surrounding the stomach was moderately hyperechoic. A small volume of echogenic effusion was seen throughout the abdomen but more evident surrounding the stomach. The free fluid was aspirated and examined microscopically</w:t>
      </w:r>
      <w:r w:rsidR="005D17E3" w:rsidRPr="00CE119F">
        <w:rPr>
          <w:rFonts w:ascii="Calibri" w:eastAsia="Times New Roman" w:hAnsi="Calibri" w:cs="Times New Roman"/>
          <w:sz w:val="24"/>
          <w:szCs w:val="24"/>
        </w:rPr>
        <w:t>,</w:t>
      </w:r>
      <w:r w:rsidRPr="00CE119F">
        <w:rPr>
          <w:rFonts w:ascii="Calibri" w:eastAsia="Times New Roman" w:hAnsi="Calibri" w:cs="Times New Roman"/>
          <w:sz w:val="24"/>
          <w:szCs w:val="24"/>
        </w:rPr>
        <w:t xml:space="preserve"> revealing predominantly neutrophils with some monocytes and no obvious bacteria.</w:t>
      </w:r>
    </w:p>
    <w:p w14:paraId="00000013" w14:textId="77777777" w:rsidR="00970D5C" w:rsidRPr="00CE119F" w:rsidRDefault="005F49DF">
      <w:pPr>
        <w:widowControl w:val="0"/>
        <w:spacing w:line="480" w:lineRule="auto"/>
        <w:ind w:firstLine="720"/>
        <w:rPr>
          <w:rFonts w:ascii="Calibri" w:eastAsia="Times New Roman" w:hAnsi="Calibri" w:cs="Times New Roman"/>
          <w:sz w:val="24"/>
          <w:szCs w:val="24"/>
        </w:rPr>
      </w:pPr>
      <w:r w:rsidRPr="00CE119F">
        <w:rPr>
          <w:rFonts w:ascii="Calibri" w:eastAsia="Times New Roman" w:hAnsi="Calibri" w:cs="Times New Roman"/>
          <w:sz w:val="24"/>
          <w:szCs w:val="24"/>
        </w:rPr>
        <w:t>Given the history of NSAID administration and findings, a perforated ulcer was prioritized. Hospitalization for abdominal exploratory surgery was elected. The patient was started on intravenous antibiotics (ampicillin–sulbactam 30 mg/kg IV and enrofloxacin 10 mg/kg IV), maropitant 1 mg/kg IV, pantoprazole 1 mg/kg IV, and maintenance fluids. The patient was transferred to the soft tissue surgery service the same day for an emergency abdominal exploration.</w:t>
      </w:r>
    </w:p>
    <w:p w14:paraId="00000014" w14:textId="77777777" w:rsidR="00970D5C" w:rsidRPr="00CE119F" w:rsidRDefault="005F49DF">
      <w:pPr>
        <w:widowControl w:val="0"/>
        <w:spacing w:line="480" w:lineRule="auto"/>
        <w:rPr>
          <w:rFonts w:ascii="Calibri" w:eastAsia="Times New Roman" w:hAnsi="Calibri" w:cs="Times New Roman"/>
          <w:bCs/>
          <w:color w:val="1F497D" w:themeColor="text2"/>
          <w:sz w:val="32"/>
          <w:szCs w:val="32"/>
        </w:rPr>
      </w:pPr>
      <w:r w:rsidRPr="00CE119F">
        <w:rPr>
          <w:rFonts w:ascii="Calibri" w:eastAsia="Times New Roman" w:hAnsi="Calibri" w:cs="Times New Roman"/>
          <w:bCs/>
          <w:color w:val="1F497D" w:themeColor="text2"/>
          <w:sz w:val="32"/>
          <w:szCs w:val="32"/>
        </w:rPr>
        <w:t xml:space="preserve">Exploratory laparotomy </w:t>
      </w:r>
    </w:p>
    <w:p w14:paraId="00000015" w14:textId="4BAD22B8" w:rsidR="00970D5C" w:rsidRPr="00CE119F" w:rsidRDefault="005F49DF">
      <w:pPr>
        <w:widowControl w:val="0"/>
        <w:spacing w:line="480" w:lineRule="auto"/>
        <w:ind w:firstLine="720"/>
        <w:rPr>
          <w:rFonts w:ascii="Calibri" w:eastAsia="Times New Roman" w:hAnsi="Calibri" w:cs="Times New Roman"/>
          <w:sz w:val="24"/>
          <w:szCs w:val="24"/>
        </w:rPr>
      </w:pPr>
      <w:r w:rsidRPr="00CE119F">
        <w:rPr>
          <w:rFonts w:ascii="Calibri" w:eastAsia="Times New Roman" w:hAnsi="Calibri" w:cs="Times New Roman"/>
          <w:sz w:val="24"/>
          <w:szCs w:val="24"/>
        </w:rPr>
        <w:t xml:space="preserve">The patient was placed under general anesthesia and prepped in standard aseptic </w:t>
      </w:r>
      <w:r w:rsidRPr="00CE119F">
        <w:rPr>
          <w:rFonts w:ascii="Calibri" w:eastAsia="Times New Roman" w:hAnsi="Calibri" w:cs="Times New Roman"/>
          <w:sz w:val="24"/>
          <w:szCs w:val="24"/>
        </w:rPr>
        <w:lastRenderedPageBreak/>
        <w:t xml:space="preserve">fashion. A routine approach was made to the ventral midline of the abdomen, extending from the xiphoid to the prepuce. Abdominal exploration revealed mild peritoneal effusion and an approximately 1 cm x 1 cm circular full-thickness gastric ulcer at the dorsal aspect of </w:t>
      </w:r>
      <w:r w:rsidR="005D17E3" w:rsidRPr="00CE119F">
        <w:rPr>
          <w:rFonts w:ascii="Calibri" w:eastAsia="Times New Roman" w:hAnsi="Calibri" w:cs="Times New Roman"/>
          <w:sz w:val="24"/>
          <w:szCs w:val="24"/>
        </w:rPr>
        <w:t xml:space="preserve">the </w:t>
      </w:r>
      <w:r w:rsidRPr="00CE119F">
        <w:rPr>
          <w:rFonts w:ascii="Calibri" w:eastAsia="Times New Roman" w:hAnsi="Calibri" w:cs="Times New Roman"/>
          <w:sz w:val="24"/>
          <w:szCs w:val="24"/>
        </w:rPr>
        <w:t xml:space="preserve">lesser curvature of the pyloric antrum. The location of the perforation was challenging to visualize, so to aid visualization, an orogastric tube was passed </w:t>
      </w:r>
      <w:r w:rsidR="005D17E3" w:rsidRPr="00CE119F">
        <w:rPr>
          <w:rFonts w:ascii="Calibri" w:eastAsia="Times New Roman" w:hAnsi="Calibri" w:cs="Times New Roman"/>
          <w:sz w:val="24"/>
          <w:szCs w:val="24"/>
        </w:rPr>
        <w:t>as far as</w:t>
      </w:r>
      <w:r w:rsidRPr="00CE119F">
        <w:rPr>
          <w:rFonts w:ascii="Calibri" w:eastAsia="Times New Roman" w:hAnsi="Calibri" w:cs="Times New Roman"/>
          <w:sz w:val="24"/>
          <w:szCs w:val="24"/>
        </w:rPr>
        <w:t xml:space="preserve"> the pyloric sphincter. Two stay sutures were placed in the body of the stomach using 2-0 </w:t>
      </w:r>
      <w:r w:rsidR="005D17E3" w:rsidRPr="00CE119F">
        <w:rPr>
          <w:rFonts w:ascii="Calibri" w:eastAsia="Times New Roman" w:hAnsi="Calibri" w:cs="Times New Roman"/>
          <w:sz w:val="24"/>
          <w:szCs w:val="24"/>
        </w:rPr>
        <w:t>s</w:t>
      </w:r>
      <w:r w:rsidRPr="00CE119F">
        <w:rPr>
          <w:rFonts w:ascii="Calibri" w:eastAsia="Times New Roman" w:hAnsi="Calibri" w:cs="Times New Roman"/>
          <w:sz w:val="24"/>
          <w:szCs w:val="24"/>
        </w:rPr>
        <w:t xml:space="preserve">ilk. </w:t>
      </w:r>
    </w:p>
    <w:p w14:paraId="00000016" w14:textId="77777777" w:rsidR="00970D5C" w:rsidRPr="00CE119F" w:rsidRDefault="005F49DF">
      <w:pPr>
        <w:widowControl w:val="0"/>
        <w:spacing w:line="480" w:lineRule="auto"/>
        <w:ind w:firstLine="720"/>
        <w:rPr>
          <w:rFonts w:ascii="Calibri" w:eastAsia="Times New Roman" w:hAnsi="Calibri" w:cs="Times New Roman"/>
          <w:sz w:val="24"/>
          <w:szCs w:val="24"/>
        </w:rPr>
      </w:pPr>
      <w:r w:rsidRPr="00CE119F">
        <w:rPr>
          <w:rFonts w:ascii="Calibri" w:eastAsia="Times New Roman" w:hAnsi="Calibri" w:cs="Times New Roman"/>
          <w:sz w:val="24"/>
          <w:szCs w:val="24"/>
        </w:rPr>
        <w:t xml:space="preserve">The edges of the perforation were then debrided using Metzenbaum scissors and a #15 scalpel blade. The perforating ulcer was reduced and closed using 3-0 PDS in a simple interrupted pattern through all the layers of the stomach at once. A sample was collected from the falciform fat for culture and sensitivity.  </w:t>
      </w:r>
    </w:p>
    <w:p w14:paraId="00000017" w14:textId="45077705" w:rsidR="00970D5C" w:rsidRPr="00CE119F" w:rsidRDefault="005F49DF">
      <w:pPr>
        <w:widowControl w:val="0"/>
        <w:spacing w:line="480" w:lineRule="auto"/>
        <w:ind w:firstLine="720"/>
        <w:rPr>
          <w:rFonts w:ascii="Calibri" w:eastAsia="Times New Roman" w:hAnsi="Calibri" w:cs="Times New Roman"/>
          <w:sz w:val="24"/>
          <w:szCs w:val="24"/>
        </w:rPr>
      </w:pPr>
      <w:r w:rsidRPr="00CE119F">
        <w:rPr>
          <w:rFonts w:ascii="Calibri" w:eastAsia="Times New Roman" w:hAnsi="Calibri" w:cs="Times New Roman"/>
          <w:sz w:val="24"/>
          <w:szCs w:val="24"/>
        </w:rPr>
        <w:t xml:space="preserve">The abdomen was copiously </w:t>
      </w:r>
      <w:proofErr w:type="spellStart"/>
      <w:r w:rsidRPr="00CE119F">
        <w:rPr>
          <w:rFonts w:ascii="Calibri" w:eastAsia="Times New Roman" w:hAnsi="Calibri" w:cs="Times New Roman"/>
          <w:sz w:val="24"/>
          <w:szCs w:val="24"/>
        </w:rPr>
        <w:t>lavaged</w:t>
      </w:r>
      <w:proofErr w:type="spellEnd"/>
      <w:r w:rsidRPr="00CE119F">
        <w:rPr>
          <w:rFonts w:ascii="Calibri" w:eastAsia="Times New Roman" w:hAnsi="Calibri" w:cs="Times New Roman"/>
          <w:sz w:val="24"/>
          <w:szCs w:val="24"/>
        </w:rPr>
        <w:t xml:space="preserve"> with multiple liters of sterile saline. All the lap sponges were </w:t>
      </w:r>
      <w:r w:rsidR="00C14F9F" w:rsidRPr="00CE119F">
        <w:rPr>
          <w:rFonts w:ascii="Calibri" w:eastAsia="Times New Roman" w:hAnsi="Calibri" w:cs="Times New Roman"/>
          <w:sz w:val="24"/>
          <w:szCs w:val="24"/>
        </w:rPr>
        <w:t>accounted for</w:t>
      </w:r>
      <w:r w:rsidRPr="00CE119F">
        <w:rPr>
          <w:rFonts w:ascii="Calibri" w:eastAsia="Times New Roman" w:hAnsi="Calibri" w:cs="Times New Roman"/>
          <w:sz w:val="24"/>
          <w:szCs w:val="24"/>
        </w:rPr>
        <w:t xml:space="preserve">. A whole new set of instruments and new gloves were used before closure. The </w:t>
      </w:r>
      <w:proofErr w:type="spellStart"/>
      <w:r w:rsidRPr="00CE119F">
        <w:rPr>
          <w:rFonts w:ascii="Calibri" w:eastAsia="Times New Roman" w:hAnsi="Calibri" w:cs="Times New Roman"/>
          <w:sz w:val="24"/>
          <w:szCs w:val="24"/>
        </w:rPr>
        <w:t>linea</w:t>
      </w:r>
      <w:proofErr w:type="spellEnd"/>
      <w:r w:rsidRPr="00CE119F">
        <w:rPr>
          <w:rFonts w:ascii="Calibri" w:eastAsia="Times New Roman" w:hAnsi="Calibri" w:cs="Times New Roman"/>
          <w:sz w:val="24"/>
          <w:szCs w:val="24"/>
        </w:rPr>
        <w:t xml:space="preserve"> alba was closed with 0 PDS in a simple continuous pattern. The subcutaneous tissues were closed with 2-0 Monocryl in a simple continuous pattern. The skin was closed with 3-0 Monocryl in an intradermal pattern. </w:t>
      </w:r>
      <w:r w:rsidR="00EC736B" w:rsidRPr="00CE119F">
        <w:rPr>
          <w:rFonts w:ascii="Calibri" w:eastAsia="Times New Roman" w:hAnsi="Calibri" w:cs="Times New Roman"/>
          <w:sz w:val="24"/>
          <w:szCs w:val="24"/>
        </w:rPr>
        <w:t>A</w:t>
      </w:r>
      <w:r w:rsidRPr="00CE119F">
        <w:rPr>
          <w:rFonts w:ascii="Calibri" w:eastAsia="Times New Roman" w:hAnsi="Calibri" w:cs="Times New Roman"/>
          <w:sz w:val="24"/>
          <w:szCs w:val="24"/>
        </w:rPr>
        <w:t xml:space="preserve"> naso</w:t>
      </w:r>
      <w:r w:rsidR="00C14F9F" w:rsidRPr="00CE119F">
        <w:rPr>
          <w:rFonts w:ascii="Calibri" w:eastAsia="Times New Roman" w:hAnsi="Calibri" w:cs="Times New Roman"/>
          <w:sz w:val="24"/>
          <w:szCs w:val="24"/>
        </w:rPr>
        <w:t>gastric</w:t>
      </w:r>
      <w:r w:rsidRPr="00CE119F">
        <w:rPr>
          <w:rFonts w:ascii="Calibri" w:eastAsia="Times New Roman" w:hAnsi="Calibri" w:cs="Times New Roman"/>
          <w:sz w:val="24"/>
          <w:szCs w:val="24"/>
        </w:rPr>
        <w:t xml:space="preserve"> feeding tube was placed</w:t>
      </w:r>
      <w:r w:rsidR="00EC736B" w:rsidRPr="00CE119F">
        <w:rPr>
          <w:rFonts w:ascii="Calibri" w:eastAsia="Times New Roman" w:hAnsi="Calibri" w:cs="Times New Roman"/>
          <w:sz w:val="24"/>
          <w:szCs w:val="24"/>
        </w:rPr>
        <w:t xml:space="preserve"> intraoperatively</w:t>
      </w:r>
      <w:r w:rsidRPr="00CE119F">
        <w:rPr>
          <w:rFonts w:ascii="Calibri" w:eastAsia="Times New Roman" w:hAnsi="Calibri" w:cs="Times New Roman"/>
          <w:sz w:val="24"/>
          <w:szCs w:val="24"/>
        </w:rPr>
        <w:t xml:space="preserve">, so that enteral feeding could be instituted. </w:t>
      </w:r>
    </w:p>
    <w:p w14:paraId="00000018" w14:textId="77777777" w:rsidR="00970D5C" w:rsidRPr="00CE119F" w:rsidRDefault="005F49DF">
      <w:pPr>
        <w:widowControl w:val="0"/>
        <w:spacing w:line="480" w:lineRule="auto"/>
        <w:rPr>
          <w:rFonts w:ascii="Calibri" w:eastAsia="Times New Roman" w:hAnsi="Calibri" w:cs="Times New Roman"/>
          <w:bCs/>
          <w:color w:val="1F497D" w:themeColor="text2"/>
          <w:sz w:val="32"/>
          <w:szCs w:val="32"/>
        </w:rPr>
      </w:pPr>
      <w:r w:rsidRPr="00CE119F">
        <w:rPr>
          <w:rFonts w:ascii="Calibri" w:eastAsia="Times New Roman" w:hAnsi="Calibri" w:cs="Times New Roman"/>
          <w:bCs/>
          <w:color w:val="1F497D" w:themeColor="text2"/>
          <w:sz w:val="32"/>
          <w:szCs w:val="32"/>
        </w:rPr>
        <w:t xml:space="preserve">Outcome </w:t>
      </w:r>
    </w:p>
    <w:p w14:paraId="00000019" w14:textId="5D2CD1BB" w:rsidR="00970D5C" w:rsidRPr="00CE119F" w:rsidRDefault="005F49DF">
      <w:pPr>
        <w:widowControl w:val="0"/>
        <w:spacing w:line="480" w:lineRule="auto"/>
        <w:ind w:firstLine="720"/>
        <w:rPr>
          <w:rFonts w:ascii="Calibri" w:eastAsia="Times New Roman" w:hAnsi="Calibri" w:cs="Times New Roman"/>
          <w:sz w:val="24"/>
          <w:szCs w:val="24"/>
        </w:rPr>
      </w:pPr>
      <w:r w:rsidRPr="00CE119F">
        <w:rPr>
          <w:rFonts w:ascii="Calibri" w:eastAsia="Times New Roman" w:hAnsi="Calibri" w:cs="Times New Roman"/>
          <w:sz w:val="24"/>
          <w:szCs w:val="24"/>
        </w:rPr>
        <w:t>The patient</w:t>
      </w:r>
      <w:r w:rsidR="005D17E3" w:rsidRPr="00CE119F">
        <w:rPr>
          <w:rFonts w:ascii="Calibri" w:eastAsia="Times New Roman" w:hAnsi="Calibri" w:cs="Times New Roman"/>
          <w:sz w:val="24"/>
          <w:szCs w:val="24"/>
        </w:rPr>
        <w:t xml:space="preserve"> recovered </w:t>
      </w:r>
      <w:r w:rsidRPr="00CE119F">
        <w:rPr>
          <w:rFonts w:ascii="Calibri" w:eastAsia="Times New Roman" w:hAnsi="Calibri" w:cs="Times New Roman"/>
          <w:sz w:val="24"/>
          <w:szCs w:val="24"/>
        </w:rPr>
        <w:t xml:space="preserve">uneventfully from anesthesia. Post-operative pain was managed with </w:t>
      </w:r>
      <w:r w:rsidR="00EC736B" w:rsidRPr="00CE119F">
        <w:rPr>
          <w:rFonts w:ascii="Calibri" w:eastAsia="Times New Roman" w:hAnsi="Calibri" w:cs="Times New Roman"/>
          <w:sz w:val="24"/>
          <w:szCs w:val="24"/>
        </w:rPr>
        <w:t>f</w:t>
      </w:r>
      <w:r w:rsidRPr="00CE119F">
        <w:rPr>
          <w:rFonts w:ascii="Calibri" w:eastAsia="Times New Roman" w:hAnsi="Calibri" w:cs="Times New Roman"/>
          <w:sz w:val="24"/>
          <w:szCs w:val="24"/>
        </w:rPr>
        <w:t xml:space="preserve">entanyl continuous rate infusion and pregabalin, and </w:t>
      </w:r>
      <w:r w:rsidR="005D17E3" w:rsidRPr="00CE119F">
        <w:rPr>
          <w:rFonts w:ascii="Calibri" w:eastAsia="Times New Roman" w:hAnsi="Calibri" w:cs="Times New Roman"/>
          <w:sz w:val="24"/>
          <w:szCs w:val="24"/>
        </w:rPr>
        <w:t xml:space="preserve">the dog was </w:t>
      </w:r>
      <w:r w:rsidRPr="00CE119F">
        <w:rPr>
          <w:rFonts w:ascii="Calibri" w:eastAsia="Times New Roman" w:hAnsi="Calibri" w:cs="Times New Roman"/>
          <w:sz w:val="24"/>
          <w:szCs w:val="24"/>
        </w:rPr>
        <w:t xml:space="preserve">then transitioned to </w:t>
      </w:r>
      <w:r w:rsidR="005D17E3" w:rsidRPr="00CE119F">
        <w:rPr>
          <w:rFonts w:ascii="Calibri" w:eastAsia="Times New Roman" w:hAnsi="Calibri" w:cs="Times New Roman"/>
          <w:sz w:val="24"/>
          <w:szCs w:val="24"/>
        </w:rPr>
        <w:t>m</w:t>
      </w:r>
      <w:r w:rsidRPr="00CE119F">
        <w:rPr>
          <w:rFonts w:ascii="Calibri" w:eastAsia="Times New Roman" w:hAnsi="Calibri" w:cs="Times New Roman"/>
          <w:sz w:val="24"/>
          <w:szCs w:val="24"/>
        </w:rPr>
        <w:t xml:space="preserve">ethadone. Intravenous ampicillin/sulbactam and enrofloxacin were continued throughout his hospitalization. Medical management for gastrointestinal care included sucralfate, pantoprazole, and metoclopramide. He was also on maropitant and ondansetron to prevent </w:t>
      </w:r>
      <w:r w:rsidRPr="00CE119F">
        <w:rPr>
          <w:rFonts w:ascii="Calibri" w:eastAsia="Times New Roman" w:hAnsi="Calibri" w:cs="Times New Roman"/>
          <w:sz w:val="24"/>
          <w:szCs w:val="24"/>
        </w:rPr>
        <w:lastRenderedPageBreak/>
        <w:t xml:space="preserve">vomiting and nausea. </w:t>
      </w:r>
    </w:p>
    <w:p w14:paraId="0000001A" w14:textId="3B6E6527" w:rsidR="00970D5C" w:rsidRPr="00CE119F" w:rsidRDefault="005F49DF">
      <w:pPr>
        <w:widowControl w:val="0"/>
        <w:spacing w:line="480" w:lineRule="auto"/>
        <w:ind w:firstLine="720"/>
        <w:rPr>
          <w:rFonts w:ascii="Calibri" w:eastAsia="Times New Roman" w:hAnsi="Calibri" w:cs="Times New Roman"/>
          <w:sz w:val="24"/>
          <w:szCs w:val="24"/>
        </w:rPr>
      </w:pPr>
      <w:r w:rsidRPr="00CE119F">
        <w:rPr>
          <w:rFonts w:ascii="Calibri" w:eastAsia="Times New Roman" w:hAnsi="Calibri" w:cs="Times New Roman"/>
          <w:sz w:val="24"/>
          <w:szCs w:val="24"/>
        </w:rPr>
        <w:t xml:space="preserve">The night post-surgery, the patient experienced hypotension that was successfully treated with a fluid bolus. The following morning, he was not interested in food and he continued to have mild body tremors and a quiet mentation. He was started on </w:t>
      </w:r>
      <w:proofErr w:type="spellStart"/>
      <w:r w:rsidRPr="00CE119F">
        <w:rPr>
          <w:rFonts w:ascii="Calibri" w:eastAsia="Times New Roman" w:hAnsi="Calibri" w:cs="Times New Roman"/>
          <w:sz w:val="24"/>
          <w:szCs w:val="24"/>
        </w:rPr>
        <w:t>capromorelin</w:t>
      </w:r>
      <w:proofErr w:type="spellEnd"/>
      <w:r w:rsidRPr="00CE119F">
        <w:rPr>
          <w:rFonts w:ascii="Calibri" w:eastAsia="Times New Roman" w:hAnsi="Calibri" w:cs="Times New Roman"/>
          <w:sz w:val="24"/>
          <w:szCs w:val="24"/>
        </w:rPr>
        <w:t xml:space="preserve">, an appetite stimulant. It was known that gabapentin induced muscle tremors in the patient, so pregabalin was discontinued as a precaution. Two days post-op, the patient was brighter and ate small amounts of homemade food. His muscle tremors significantly diminished. He was discharged with instructions to continue with amoxicillin clavulanate and enrofloxacin until the culture and sensitivity results become available. He was also sent home with omeprazole and sucralfate for 14 days. </w:t>
      </w:r>
      <w:r w:rsidR="005D17E3" w:rsidRPr="00CE119F">
        <w:rPr>
          <w:rFonts w:ascii="Calibri" w:eastAsia="Times New Roman" w:hAnsi="Calibri" w:cs="Times New Roman"/>
          <w:sz w:val="24"/>
          <w:szCs w:val="24"/>
        </w:rPr>
        <w:t>The o</w:t>
      </w:r>
      <w:r w:rsidRPr="00CE119F">
        <w:rPr>
          <w:rFonts w:ascii="Calibri" w:eastAsia="Times New Roman" w:hAnsi="Calibri" w:cs="Times New Roman"/>
          <w:sz w:val="24"/>
          <w:szCs w:val="24"/>
        </w:rPr>
        <w:t xml:space="preserve">wners were educated on home post-operative care and instructed to have the incision rechecked by a veterinarian in 10-14 days. </w:t>
      </w:r>
    </w:p>
    <w:p w14:paraId="0000001B" w14:textId="3164CCD0" w:rsidR="00970D5C" w:rsidRPr="00CE119F" w:rsidRDefault="00EC736B">
      <w:pPr>
        <w:widowControl w:val="0"/>
        <w:spacing w:line="480" w:lineRule="auto"/>
        <w:ind w:firstLine="720"/>
        <w:rPr>
          <w:rFonts w:ascii="Calibri" w:eastAsia="Times New Roman" w:hAnsi="Calibri" w:cs="Times New Roman"/>
          <w:sz w:val="24"/>
          <w:szCs w:val="24"/>
        </w:rPr>
      </w:pPr>
      <w:r w:rsidRPr="00CE119F">
        <w:rPr>
          <w:rFonts w:ascii="Calibri" w:eastAsia="Times New Roman" w:hAnsi="Calibri" w:cs="Times New Roman"/>
          <w:sz w:val="24"/>
          <w:szCs w:val="24"/>
        </w:rPr>
        <w:t xml:space="preserve">Four </w:t>
      </w:r>
      <w:r w:rsidR="005F49DF" w:rsidRPr="00CE119F">
        <w:rPr>
          <w:rFonts w:ascii="Calibri" w:eastAsia="Times New Roman" w:hAnsi="Calibri" w:cs="Times New Roman"/>
          <w:sz w:val="24"/>
          <w:szCs w:val="24"/>
        </w:rPr>
        <w:t xml:space="preserve">days post-surgery, the patient was represented to the </w:t>
      </w:r>
      <w:r w:rsidR="005D17E3" w:rsidRPr="00CE119F">
        <w:rPr>
          <w:rFonts w:ascii="Calibri" w:eastAsia="Times New Roman" w:hAnsi="Calibri" w:cs="Times New Roman"/>
          <w:sz w:val="24"/>
          <w:szCs w:val="24"/>
        </w:rPr>
        <w:t>e</w:t>
      </w:r>
      <w:r w:rsidR="005F49DF" w:rsidRPr="00CE119F">
        <w:rPr>
          <w:rFonts w:ascii="Calibri" w:eastAsia="Times New Roman" w:hAnsi="Calibri" w:cs="Times New Roman"/>
          <w:sz w:val="24"/>
          <w:szCs w:val="24"/>
        </w:rPr>
        <w:t xml:space="preserve">mergency </w:t>
      </w:r>
      <w:r w:rsidR="005D17E3" w:rsidRPr="00CE119F">
        <w:rPr>
          <w:rFonts w:ascii="Calibri" w:eastAsia="Times New Roman" w:hAnsi="Calibri" w:cs="Times New Roman"/>
          <w:sz w:val="24"/>
          <w:szCs w:val="24"/>
        </w:rPr>
        <w:t>s</w:t>
      </w:r>
      <w:r w:rsidR="005F49DF" w:rsidRPr="00CE119F">
        <w:rPr>
          <w:rFonts w:ascii="Calibri" w:eastAsia="Times New Roman" w:hAnsi="Calibri" w:cs="Times New Roman"/>
          <w:sz w:val="24"/>
          <w:szCs w:val="24"/>
        </w:rPr>
        <w:t>ervice for vomiting, anorexia, and incisional complications. On presentation, he was mildly febrile, slightly dull, and uncomfortable on abdominal palpation.</w:t>
      </w:r>
      <w:r w:rsidR="00523214" w:rsidRPr="00CE119F">
        <w:rPr>
          <w:rFonts w:ascii="Calibri" w:hAnsi="Calibri"/>
        </w:rPr>
        <w:t xml:space="preserve"> </w:t>
      </w:r>
      <w:r w:rsidR="00523214" w:rsidRPr="00CE119F">
        <w:rPr>
          <w:rFonts w:ascii="Calibri" w:eastAsia="Times New Roman" w:hAnsi="Calibri" w:cs="Times New Roman"/>
          <w:sz w:val="24"/>
          <w:szCs w:val="24"/>
        </w:rPr>
        <w:t>The abdominal incision was erythematous with dehiscence and discharge noted at its caudal aspect.</w:t>
      </w:r>
      <w:r w:rsidR="005F49DF" w:rsidRPr="00CE119F">
        <w:rPr>
          <w:rFonts w:ascii="Calibri" w:eastAsia="Times New Roman" w:hAnsi="Calibri" w:cs="Times New Roman"/>
          <w:sz w:val="24"/>
          <w:szCs w:val="24"/>
        </w:rPr>
        <w:t xml:space="preserve"> Additionally, the incision was fluid-</w:t>
      </w:r>
      <w:r w:rsidR="001D6793" w:rsidRPr="00CE119F">
        <w:rPr>
          <w:rFonts w:ascii="Calibri" w:eastAsia="Times New Roman" w:hAnsi="Calibri" w:cs="Times New Roman"/>
          <w:sz w:val="24"/>
          <w:szCs w:val="24"/>
        </w:rPr>
        <w:t>filled,</w:t>
      </w:r>
      <w:r w:rsidR="005F49DF" w:rsidRPr="00CE119F">
        <w:rPr>
          <w:rFonts w:ascii="Calibri" w:eastAsia="Times New Roman" w:hAnsi="Calibri" w:cs="Times New Roman"/>
          <w:sz w:val="24"/>
          <w:szCs w:val="24"/>
        </w:rPr>
        <w:t xml:space="preserve"> </w:t>
      </w:r>
      <w:r w:rsidR="00523214" w:rsidRPr="00CE119F">
        <w:rPr>
          <w:rFonts w:ascii="Calibri" w:eastAsia="Times New Roman" w:hAnsi="Calibri" w:cs="Times New Roman"/>
          <w:sz w:val="24"/>
          <w:szCs w:val="24"/>
        </w:rPr>
        <w:t xml:space="preserve">and the </w:t>
      </w:r>
      <w:r w:rsidR="005F49DF" w:rsidRPr="00CE119F">
        <w:rPr>
          <w:rFonts w:ascii="Calibri" w:eastAsia="Times New Roman" w:hAnsi="Calibri" w:cs="Times New Roman"/>
          <w:sz w:val="24"/>
          <w:szCs w:val="24"/>
        </w:rPr>
        <w:t>fluid was aspirated and showed abnormal presence of bacteria. His venous blood glucose was concerning for borderline hypoglycemia</w:t>
      </w:r>
      <w:r w:rsidR="001D6793" w:rsidRPr="00CE119F">
        <w:rPr>
          <w:rFonts w:ascii="Calibri" w:eastAsia="Times New Roman" w:hAnsi="Calibri" w:cs="Times New Roman"/>
          <w:sz w:val="24"/>
          <w:szCs w:val="24"/>
        </w:rPr>
        <w:t xml:space="preserve"> (69 mg/dL)</w:t>
      </w:r>
      <w:r w:rsidR="005F49DF" w:rsidRPr="00CE119F">
        <w:rPr>
          <w:rFonts w:ascii="Calibri" w:eastAsia="Times New Roman" w:hAnsi="Calibri" w:cs="Times New Roman"/>
          <w:sz w:val="24"/>
          <w:szCs w:val="24"/>
        </w:rPr>
        <w:t>. Abdominal ultrasound revealed no evidence of failure of the pyloric repair site</w:t>
      </w:r>
      <w:r w:rsidR="001D6793" w:rsidRPr="00CE119F">
        <w:rPr>
          <w:rFonts w:ascii="Calibri" w:eastAsia="Times New Roman" w:hAnsi="Calibri" w:cs="Times New Roman"/>
          <w:sz w:val="24"/>
          <w:szCs w:val="24"/>
        </w:rPr>
        <w:t xml:space="preserve">. </w:t>
      </w:r>
      <w:r w:rsidR="005F49DF" w:rsidRPr="00CE119F">
        <w:rPr>
          <w:rFonts w:ascii="Calibri" w:eastAsia="Times New Roman" w:hAnsi="Calibri" w:cs="Times New Roman"/>
          <w:sz w:val="24"/>
          <w:szCs w:val="24"/>
        </w:rPr>
        <w:t xml:space="preserve">At this point, there was concern for incision dehiscence and he was transferred to the soft tissue service to explore the incision. </w:t>
      </w:r>
    </w:p>
    <w:p w14:paraId="0000001C" w14:textId="0E762382" w:rsidR="00970D5C" w:rsidRPr="00CE119F" w:rsidRDefault="005F49DF">
      <w:pPr>
        <w:widowControl w:val="0"/>
        <w:spacing w:line="480" w:lineRule="auto"/>
        <w:ind w:firstLine="720"/>
        <w:rPr>
          <w:rFonts w:ascii="Calibri" w:eastAsia="Times New Roman" w:hAnsi="Calibri" w:cs="Times New Roman"/>
          <w:sz w:val="24"/>
          <w:szCs w:val="24"/>
        </w:rPr>
      </w:pPr>
      <w:r w:rsidRPr="00CE119F">
        <w:rPr>
          <w:rFonts w:ascii="Calibri" w:eastAsia="Times New Roman" w:hAnsi="Calibri" w:cs="Times New Roman"/>
          <w:sz w:val="24"/>
          <w:szCs w:val="24"/>
        </w:rPr>
        <w:t xml:space="preserve">The next morning, the patient was placed under general anesthesia and prepared for surgery. The incision was opened and evaluated. There was a large defect in the cranial aspect of the incision with communication into the abdomen. Thus, a complete exploratory </w:t>
      </w:r>
      <w:r w:rsidRPr="00CE119F">
        <w:rPr>
          <w:rFonts w:ascii="Calibri" w:eastAsia="Times New Roman" w:hAnsi="Calibri" w:cs="Times New Roman"/>
          <w:sz w:val="24"/>
          <w:szCs w:val="24"/>
        </w:rPr>
        <w:lastRenderedPageBreak/>
        <w:t xml:space="preserve">laparotomy was indicated. The surgical site on the stomach was noted to have dehiscence and abscessation of the </w:t>
      </w:r>
      <w:proofErr w:type="spellStart"/>
      <w:r w:rsidRPr="00CE119F">
        <w:rPr>
          <w:rFonts w:ascii="Calibri" w:eastAsia="Times New Roman" w:hAnsi="Calibri" w:cs="Times New Roman"/>
          <w:sz w:val="24"/>
          <w:szCs w:val="24"/>
        </w:rPr>
        <w:t>omentum</w:t>
      </w:r>
      <w:proofErr w:type="spellEnd"/>
      <w:r w:rsidRPr="00CE119F">
        <w:rPr>
          <w:rFonts w:ascii="Calibri" w:eastAsia="Times New Roman" w:hAnsi="Calibri" w:cs="Times New Roman"/>
          <w:sz w:val="24"/>
          <w:szCs w:val="24"/>
        </w:rPr>
        <w:t xml:space="preserve"> in the immediate vicinity. The owners were contacted intraoperatively and the only surgical option, </w:t>
      </w:r>
      <w:proofErr w:type="spellStart"/>
      <w:r w:rsidRPr="00CE119F">
        <w:rPr>
          <w:rFonts w:ascii="Calibri" w:eastAsia="Times New Roman" w:hAnsi="Calibri" w:cs="Times New Roman"/>
          <w:sz w:val="24"/>
          <w:szCs w:val="24"/>
        </w:rPr>
        <w:t>Billroth</w:t>
      </w:r>
      <w:proofErr w:type="spellEnd"/>
      <w:r w:rsidRPr="00CE119F">
        <w:rPr>
          <w:rFonts w:ascii="Calibri" w:eastAsia="Times New Roman" w:hAnsi="Calibri" w:cs="Times New Roman"/>
          <w:sz w:val="24"/>
          <w:szCs w:val="24"/>
        </w:rPr>
        <w:t xml:space="preserve"> 1</w:t>
      </w:r>
      <w:r w:rsidR="005D17E3" w:rsidRPr="00CE119F">
        <w:rPr>
          <w:rFonts w:ascii="Calibri" w:eastAsia="Times New Roman" w:hAnsi="Calibri" w:cs="Times New Roman"/>
          <w:sz w:val="24"/>
          <w:szCs w:val="24"/>
        </w:rPr>
        <w:t xml:space="preserve"> </w:t>
      </w:r>
      <w:r w:rsidRPr="00CE119F">
        <w:rPr>
          <w:rFonts w:ascii="Calibri" w:eastAsia="Times New Roman" w:hAnsi="Calibri" w:cs="Times New Roman"/>
          <w:sz w:val="24"/>
          <w:szCs w:val="24"/>
        </w:rPr>
        <w:t>procedure</w:t>
      </w:r>
      <w:r w:rsidR="005D17E3" w:rsidRPr="00CE119F">
        <w:rPr>
          <w:rFonts w:ascii="Calibri" w:eastAsia="Times New Roman" w:hAnsi="Calibri" w:cs="Times New Roman"/>
          <w:sz w:val="24"/>
          <w:szCs w:val="24"/>
        </w:rPr>
        <w:t>,</w:t>
      </w:r>
      <w:r w:rsidRPr="00CE119F">
        <w:rPr>
          <w:rFonts w:ascii="Calibri" w:eastAsia="Times New Roman" w:hAnsi="Calibri" w:cs="Times New Roman"/>
          <w:sz w:val="24"/>
          <w:szCs w:val="24"/>
        </w:rPr>
        <w:t xml:space="preserve"> was discussed. Due to guarded-to-poor prognosis</w:t>
      </w:r>
      <w:r w:rsidR="00CE119F">
        <w:rPr>
          <w:rFonts w:ascii="Calibri" w:eastAsia="Times New Roman" w:hAnsi="Calibri" w:cs="Times New Roman"/>
          <w:sz w:val="24"/>
          <w:szCs w:val="24"/>
        </w:rPr>
        <w:t xml:space="preserve">, </w:t>
      </w:r>
      <w:r w:rsidRPr="00CE119F">
        <w:rPr>
          <w:rFonts w:ascii="Calibri" w:eastAsia="Times New Roman" w:hAnsi="Calibri" w:cs="Times New Roman"/>
          <w:sz w:val="24"/>
          <w:szCs w:val="24"/>
        </w:rPr>
        <w:t>in the face of sepsis</w:t>
      </w:r>
      <w:r w:rsidR="00CE119F">
        <w:rPr>
          <w:rFonts w:ascii="Calibri" w:eastAsia="Times New Roman" w:hAnsi="Calibri" w:cs="Times New Roman"/>
          <w:sz w:val="24"/>
          <w:szCs w:val="24"/>
        </w:rPr>
        <w:t xml:space="preserve"> </w:t>
      </w:r>
      <w:r w:rsidR="00CE119F" w:rsidRPr="00CE119F">
        <w:rPr>
          <w:rFonts w:ascii="Calibri" w:eastAsia="Times New Roman" w:hAnsi="Calibri" w:cs="Times New Roman"/>
          <w:sz w:val="24"/>
          <w:szCs w:val="24"/>
        </w:rPr>
        <w:t>(Bush et al., 2016)</w:t>
      </w:r>
      <w:r w:rsidRPr="00CE119F">
        <w:rPr>
          <w:rFonts w:ascii="Calibri" w:eastAsia="Times New Roman" w:hAnsi="Calibri" w:cs="Times New Roman"/>
          <w:sz w:val="24"/>
          <w:szCs w:val="24"/>
        </w:rPr>
        <w:t>, euthanasia was elected under general anesthesia.</w:t>
      </w:r>
    </w:p>
    <w:p w14:paraId="0000001D" w14:textId="77777777" w:rsidR="00970D5C" w:rsidRPr="00CE119F" w:rsidRDefault="005F49DF">
      <w:pPr>
        <w:widowControl w:val="0"/>
        <w:spacing w:line="480" w:lineRule="auto"/>
        <w:rPr>
          <w:rFonts w:ascii="Calibri" w:eastAsia="Times New Roman" w:hAnsi="Calibri" w:cs="Times New Roman"/>
          <w:bCs/>
          <w:color w:val="1F497D" w:themeColor="text2"/>
          <w:sz w:val="32"/>
          <w:szCs w:val="32"/>
        </w:rPr>
      </w:pPr>
      <w:r w:rsidRPr="00CE119F">
        <w:rPr>
          <w:rFonts w:ascii="Calibri" w:eastAsia="Times New Roman" w:hAnsi="Calibri" w:cs="Times New Roman"/>
          <w:bCs/>
          <w:color w:val="1F497D" w:themeColor="text2"/>
          <w:sz w:val="32"/>
          <w:szCs w:val="32"/>
        </w:rPr>
        <w:t xml:space="preserve">Discussion </w:t>
      </w:r>
    </w:p>
    <w:p w14:paraId="0000001E" w14:textId="5A468EB1" w:rsidR="00970D5C" w:rsidRPr="00CE119F" w:rsidRDefault="005F49DF">
      <w:pPr>
        <w:widowControl w:val="0"/>
        <w:spacing w:line="480" w:lineRule="auto"/>
        <w:ind w:firstLine="720"/>
        <w:rPr>
          <w:rFonts w:ascii="Calibri" w:eastAsia="Times New Roman" w:hAnsi="Calibri" w:cs="Times New Roman"/>
          <w:sz w:val="24"/>
          <w:szCs w:val="24"/>
        </w:rPr>
      </w:pPr>
      <w:r w:rsidRPr="00CE119F">
        <w:rPr>
          <w:rFonts w:ascii="Calibri" w:eastAsia="Times New Roman" w:hAnsi="Calibri" w:cs="Times New Roman"/>
          <w:sz w:val="24"/>
          <w:szCs w:val="24"/>
        </w:rPr>
        <w:t xml:space="preserve">The patient was administered an appropriate dose of </w:t>
      </w:r>
      <w:r w:rsidR="005D17E3" w:rsidRPr="00CE119F">
        <w:rPr>
          <w:rFonts w:ascii="Calibri" w:eastAsia="Times New Roman" w:hAnsi="Calibri" w:cs="Times New Roman"/>
          <w:sz w:val="24"/>
          <w:szCs w:val="24"/>
        </w:rPr>
        <w:t>m</w:t>
      </w:r>
      <w:r w:rsidRPr="00CE119F">
        <w:rPr>
          <w:rFonts w:ascii="Calibri" w:eastAsia="Times New Roman" w:hAnsi="Calibri" w:cs="Times New Roman"/>
          <w:sz w:val="24"/>
          <w:szCs w:val="24"/>
        </w:rPr>
        <w:t xml:space="preserve">eloxicam (0.1mg/kg dose orally for a total of 15 days) for pain associated with severe dog bite wounds. </w:t>
      </w:r>
      <w:r w:rsidR="005D17E3" w:rsidRPr="00CE119F">
        <w:rPr>
          <w:rFonts w:ascii="Calibri" w:eastAsia="Times New Roman" w:hAnsi="Calibri" w:cs="Times New Roman"/>
          <w:sz w:val="24"/>
          <w:szCs w:val="24"/>
        </w:rPr>
        <w:t>As</w:t>
      </w:r>
      <w:r w:rsidRPr="00CE119F">
        <w:rPr>
          <w:rFonts w:ascii="Calibri" w:eastAsia="Times New Roman" w:hAnsi="Calibri" w:cs="Times New Roman"/>
          <w:sz w:val="24"/>
          <w:szCs w:val="24"/>
        </w:rPr>
        <w:t xml:space="preserve"> in this case, </w:t>
      </w:r>
      <w:r w:rsidR="005D17E3" w:rsidRPr="00CE119F">
        <w:rPr>
          <w:rFonts w:ascii="Calibri" w:eastAsia="Times New Roman" w:hAnsi="Calibri" w:cs="Times New Roman"/>
          <w:sz w:val="24"/>
          <w:szCs w:val="24"/>
        </w:rPr>
        <w:t>n</w:t>
      </w:r>
      <w:r w:rsidRPr="00CE119F">
        <w:rPr>
          <w:rFonts w:ascii="Calibri" w:eastAsia="Times New Roman" w:hAnsi="Calibri" w:cs="Times New Roman"/>
          <w:sz w:val="24"/>
          <w:szCs w:val="24"/>
        </w:rPr>
        <w:t>on-steroidal anti-inflammatory drugs (NSAIDs) are commonly used in veterinary medicine for management of acute or chronic pain. However, their use has been associated with significant adverse effects including gastric irritation, development of protein-losing enteropathy, renal damage, and bleeding disorders, which are serious and potentially fatal conditions (Monteiro‐Steagall,</w:t>
      </w:r>
      <w:r w:rsidR="005D17E3" w:rsidRPr="00CE119F">
        <w:rPr>
          <w:rFonts w:ascii="Calibri" w:eastAsia="Times New Roman" w:hAnsi="Calibri" w:cs="Times New Roman"/>
          <w:sz w:val="24"/>
          <w:szCs w:val="24"/>
        </w:rPr>
        <w:t xml:space="preserve"> </w:t>
      </w:r>
      <w:r w:rsidRPr="00CE119F">
        <w:rPr>
          <w:rFonts w:ascii="Calibri" w:eastAsia="Times New Roman" w:hAnsi="Calibri" w:cs="Times New Roman"/>
          <w:sz w:val="24"/>
          <w:szCs w:val="24"/>
        </w:rPr>
        <w:t xml:space="preserve">2013). </w:t>
      </w:r>
    </w:p>
    <w:p w14:paraId="0000001F" w14:textId="17F96426" w:rsidR="00970D5C" w:rsidRPr="00CE119F" w:rsidRDefault="005F49DF">
      <w:pPr>
        <w:widowControl w:val="0"/>
        <w:spacing w:line="480" w:lineRule="auto"/>
        <w:ind w:firstLine="720"/>
        <w:rPr>
          <w:rFonts w:ascii="Calibri" w:eastAsia="Times New Roman" w:hAnsi="Calibri" w:cs="Times New Roman"/>
          <w:sz w:val="24"/>
          <w:szCs w:val="24"/>
        </w:rPr>
      </w:pPr>
      <w:r w:rsidRPr="00CE119F">
        <w:rPr>
          <w:rFonts w:ascii="Calibri" w:eastAsia="Times New Roman" w:hAnsi="Calibri" w:cs="Times New Roman"/>
          <w:sz w:val="24"/>
          <w:szCs w:val="24"/>
        </w:rPr>
        <w:t xml:space="preserve">Non-steroidal anti-inflammatory drugs act by inhibiting the activity of cyclooxygenase (COX). This enzyme is involved in the conversion of arachidonic acid to eicosanoids, including prostaglandins, </w:t>
      </w:r>
      <w:proofErr w:type="spellStart"/>
      <w:r w:rsidRPr="00CE119F">
        <w:rPr>
          <w:rFonts w:ascii="Calibri" w:eastAsia="Times New Roman" w:hAnsi="Calibri" w:cs="Times New Roman"/>
          <w:sz w:val="24"/>
          <w:szCs w:val="24"/>
        </w:rPr>
        <w:t>thromboxanes</w:t>
      </w:r>
      <w:proofErr w:type="spellEnd"/>
      <w:r w:rsidRPr="00CE119F">
        <w:rPr>
          <w:rFonts w:ascii="Calibri" w:eastAsia="Times New Roman" w:hAnsi="Calibri" w:cs="Times New Roman"/>
          <w:sz w:val="24"/>
          <w:szCs w:val="24"/>
        </w:rPr>
        <w:t>, and leukotrienes (</w:t>
      </w:r>
      <w:proofErr w:type="spellStart"/>
      <w:r w:rsidRPr="00CE119F">
        <w:rPr>
          <w:rFonts w:ascii="Calibri" w:eastAsia="Times New Roman" w:hAnsi="Calibri" w:cs="Times New Roman"/>
          <w:sz w:val="24"/>
          <w:szCs w:val="24"/>
        </w:rPr>
        <w:t>Ghlichloo</w:t>
      </w:r>
      <w:proofErr w:type="spellEnd"/>
      <w:r w:rsidRPr="00CE119F">
        <w:rPr>
          <w:rFonts w:ascii="Calibri" w:eastAsia="Times New Roman" w:hAnsi="Calibri" w:cs="Times New Roman"/>
          <w:sz w:val="24"/>
          <w:szCs w:val="24"/>
        </w:rPr>
        <w:t xml:space="preserve">, 2018). </w:t>
      </w:r>
      <w:r w:rsidR="005D17E3" w:rsidRPr="00CE119F">
        <w:rPr>
          <w:rFonts w:ascii="Calibri" w:eastAsia="Times New Roman" w:hAnsi="Calibri" w:cs="Times New Roman"/>
          <w:sz w:val="24"/>
          <w:szCs w:val="24"/>
        </w:rPr>
        <w:t xml:space="preserve">The </w:t>
      </w:r>
      <w:r w:rsidRPr="00CE119F">
        <w:rPr>
          <w:rFonts w:ascii="Calibri" w:eastAsia="Times New Roman" w:hAnsi="Calibri" w:cs="Times New Roman"/>
          <w:sz w:val="24"/>
          <w:szCs w:val="24"/>
        </w:rPr>
        <w:t xml:space="preserve">NSAIDs reduce inflammation, pain, and fever by preventing the formation of these eicosanoids. </w:t>
      </w:r>
      <w:r w:rsidR="00EC736B" w:rsidRPr="00CE119F">
        <w:rPr>
          <w:rFonts w:ascii="Calibri" w:eastAsia="Times New Roman" w:hAnsi="Calibri" w:cs="Times New Roman"/>
          <w:sz w:val="24"/>
          <w:szCs w:val="24"/>
        </w:rPr>
        <w:t xml:space="preserve">Different </w:t>
      </w:r>
      <w:r w:rsidR="005D17E3" w:rsidRPr="00CE119F">
        <w:rPr>
          <w:rFonts w:ascii="Calibri" w:eastAsia="Times New Roman" w:hAnsi="Calibri" w:cs="Times New Roman"/>
          <w:sz w:val="24"/>
          <w:szCs w:val="24"/>
        </w:rPr>
        <w:t>cyclooxygenase</w:t>
      </w:r>
      <w:r w:rsidR="00EC736B" w:rsidRPr="00CE119F">
        <w:rPr>
          <w:rFonts w:ascii="Calibri" w:eastAsia="Times New Roman" w:hAnsi="Calibri" w:cs="Times New Roman"/>
          <w:sz w:val="24"/>
          <w:szCs w:val="24"/>
        </w:rPr>
        <w:t xml:space="preserve"> isoforms, including COX-1 and COX-2, have been identified. </w:t>
      </w:r>
      <w:r w:rsidRPr="00CE119F">
        <w:rPr>
          <w:rFonts w:ascii="Calibri" w:eastAsia="Times New Roman" w:hAnsi="Calibri" w:cs="Times New Roman"/>
          <w:sz w:val="24"/>
          <w:szCs w:val="24"/>
        </w:rPr>
        <w:t xml:space="preserve">COX-1 is believed to be naturally present in the body and plays a role in maintaining gastrointestinal mucosa lining, kidney function, and platelet aggregation, while COX-2 is an inducible enzyme that is upregulated during an inflammatory response (Khan et al 2012, </w:t>
      </w:r>
      <w:proofErr w:type="spellStart"/>
      <w:r w:rsidRPr="00CE119F">
        <w:rPr>
          <w:rFonts w:ascii="Calibri" w:eastAsia="Times New Roman" w:hAnsi="Calibri" w:cs="Times New Roman"/>
          <w:sz w:val="24"/>
          <w:szCs w:val="24"/>
        </w:rPr>
        <w:t>Ghlichloo</w:t>
      </w:r>
      <w:proofErr w:type="spellEnd"/>
      <w:r w:rsidRPr="00CE119F">
        <w:rPr>
          <w:rFonts w:ascii="Calibri" w:eastAsia="Times New Roman" w:hAnsi="Calibri" w:cs="Times New Roman"/>
          <w:sz w:val="24"/>
          <w:szCs w:val="24"/>
        </w:rPr>
        <w:t xml:space="preserve"> 2018). First generation NSAIDs are non-selective and inhibit COX-1 and COX-2. The inhibition of COX-1 </w:t>
      </w:r>
      <w:r w:rsidRPr="00CE119F">
        <w:rPr>
          <w:rFonts w:ascii="Calibri" w:eastAsia="Times New Roman" w:hAnsi="Calibri" w:cs="Times New Roman"/>
          <w:sz w:val="24"/>
          <w:szCs w:val="24"/>
        </w:rPr>
        <w:lastRenderedPageBreak/>
        <w:t xml:space="preserve">impairs the synthesis of gastroprotective agents such as prostaglandins and prostacyclin. Thus, NSAIDs that act mainly against COX-1, such as aspirin, are said to be more likely to result in gastrointestinal tract injury. Second generation NSAIDs, such as </w:t>
      </w:r>
      <w:r w:rsidR="005D17E3" w:rsidRPr="00CE119F">
        <w:rPr>
          <w:rFonts w:ascii="Calibri" w:eastAsia="Times New Roman" w:hAnsi="Calibri" w:cs="Times New Roman"/>
          <w:sz w:val="24"/>
          <w:szCs w:val="24"/>
        </w:rPr>
        <w:t>m</w:t>
      </w:r>
      <w:r w:rsidRPr="00CE119F">
        <w:rPr>
          <w:rFonts w:ascii="Calibri" w:eastAsia="Times New Roman" w:hAnsi="Calibri" w:cs="Times New Roman"/>
          <w:sz w:val="24"/>
          <w:szCs w:val="24"/>
        </w:rPr>
        <w:t xml:space="preserve">eloxicam and </w:t>
      </w:r>
      <w:r w:rsidR="005D17E3" w:rsidRPr="00CE119F">
        <w:rPr>
          <w:rFonts w:ascii="Calibri" w:eastAsia="Times New Roman" w:hAnsi="Calibri" w:cs="Times New Roman"/>
          <w:sz w:val="24"/>
          <w:szCs w:val="24"/>
        </w:rPr>
        <w:t>c</w:t>
      </w:r>
      <w:r w:rsidRPr="00CE119F">
        <w:rPr>
          <w:rFonts w:ascii="Calibri" w:eastAsia="Times New Roman" w:hAnsi="Calibri" w:cs="Times New Roman"/>
          <w:sz w:val="24"/>
          <w:szCs w:val="24"/>
        </w:rPr>
        <w:t>arprofen, have more selectivity towards COX-2 and have demonstrated a high safety profile with regards to adverse effects on the gastrointestinal tract (</w:t>
      </w:r>
      <w:proofErr w:type="spellStart"/>
      <w:r w:rsidRPr="00CE119F">
        <w:rPr>
          <w:rFonts w:ascii="Calibri" w:eastAsia="Times New Roman" w:hAnsi="Calibri" w:cs="Times New Roman"/>
          <w:sz w:val="24"/>
          <w:szCs w:val="24"/>
        </w:rPr>
        <w:t>Cariou</w:t>
      </w:r>
      <w:proofErr w:type="spellEnd"/>
      <w:r w:rsidRPr="00CE119F">
        <w:rPr>
          <w:rFonts w:ascii="Calibri" w:eastAsia="Times New Roman" w:hAnsi="Calibri" w:cs="Times New Roman"/>
          <w:sz w:val="24"/>
          <w:szCs w:val="24"/>
        </w:rPr>
        <w:t xml:space="preserve"> et al., 2009). However, gastrointestinal perforation is still a risk with the use of these NSAIDs at appropriate doses. They can induce gastric damage through both local and systemic effects. The inhibition of COX-2 leads to activation of the </w:t>
      </w:r>
      <w:r w:rsidR="005D17E3" w:rsidRPr="00CE119F">
        <w:rPr>
          <w:rFonts w:ascii="Calibri" w:eastAsia="Times New Roman" w:hAnsi="Calibri" w:cs="Times New Roman"/>
          <w:sz w:val="24"/>
          <w:szCs w:val="24"/>
        </w:rPr>
        <w:t>lipoxygenase</w:t>
      </w:r>
      <w:r w:rsidRPr="00CE119F">
        <w:rPr>
          <w:rFonts w:ascii="Calibri" w:eastAsia="Times New Roman" w:hAnsi="Calibri" w:cs="Times New Roman"/>
          <w:sz w:val="24"/>
          <w:szCs w:val="24"/>
        </w:rPr>
        <w:t xml:space="preserve"> pathway and its end products, leukotrienes, damage the gastrointestinal mucosa (Jankowski et al., 2014). </w:t>
      </w:r>
      <w:r w:rsidR="005D17E3" w:rsidRPr="00CE119F">
        <w:rPr>
          <w:rFonts w:ascii="Calibri" w:eastAsia="Times New Roman" w:hAnsi="Calibri" w:cs="Times New Roman"/>
          <w:sz w:val="24"/>
          <w:szCs w:val="24"/>
        </w:rPr>
        <w:t xml:space="preserve">The </w:t>
      </w:r>
      <w:r w:rsidRPr="00CE119F">
        <w:rPr>
          <w:rFonts w:ascii="Calibri" w:eastAsia="Times New Roman" w:hAnsi="Calibri" w:cs="Times New Roman"/>
          <w:sz w:val="24"/>
          <w:szCs w:val="24"/>
        </w:rPr>
        <w:t xml:space="preserve">NSAIDs can also cause direct damage to the gastric mucosa by impairing mitochondrial function, which leads to ATP deficiency increasing the susceptibility of epithelial cells to oxidative stress (Jankowski et al., 2014). Additionally, according to Plumb’s Veterinary Drugs, at higher doses of meloxicam, the COX-2 selectivity may be lost and there may be increased COX-1 inhibition making GI toxicity more likely. </w:t>
      </w:r>
    </w:p>
    <w:p w14:paraId="00000020" w14:textId="14B6CBFA" w:rsidR="00970D5C" w:rsidRPr="00CE119F" w:rsidRDefault="00D72629">
      <w:pPr>
        <w:widowControl w:val="0"/>
        <w:spacing w:line="480" w:lineRule="auto"/>
        <w:ind w:firstLine="720"/>
        <w:rPr>
          <w:rFonts w:ascii="Calibri" w:eastAsia="Times New Roman" w:hAnsi="Calibri" w:cs="Times New Roman"/>
          <w:sz w:val="24"/>
          <w:szCs w:val="24"/>
        </w:rPr>
      </w:pPr>
      <w:r w:rsidRPr="00CE119F">
        <w:rPr>
          <w:rFonts w:ascii="Calibri" w:eastAsia="Times New Roman" w:hAnsi="Calibri" w:cs="Times New Roman"/>
          <w:sz w:val="24"/>
          <w:szCs w:val="24"/>
        </w:rPr>
        <w:t>Therapy with NSAIDs</w:t>
      </w:r>
      <w:r w:rsidRPr="00CE119F">
        <w:rPr>
          <w:rFonts w:ascii="Calibri" w:eastAsia="Times New Roman" w:hAnsi="Calibri" w:cs="Times New Roman"/>
          <w:sz w:val="24"/>
          <w:szCs w:val="24"/>
        </w:rPr>
        <w:t xml:space="preserve"> </w:t>
      </w:r>
      <w:r w:rsidR="005F49DF" w:rsidRPr="00CE119F">
        <w:rPr>
          <w:rFonts w:ascii="Calibri" w:eastAsia="Times New Roman" w:hAnsi="Calibri" w:cs="Times New Roman"/>
          <w:sz w:val="24"/>
          <w:szCs w:val="24"/>
        </w:rPr>
        <w:t xml:space="preserve">is the most common predisposing factor for gastric perforation in dogs. Other predisposing factors for gastric perforation include inflammatory bowel disease, lead toxicosis, corticosteroid therapy, non-neoplastic infiltrative gastrointestinal disease, gastrointestinal neoplasia, endoparasites, </w:t>
      </w:r>
      <w:proofErr w:type="spellStart"/>
      <w:r w:rsidR="005F49DF" w:rsidRPr="00CE119F">
        <w:rPr>
          <w:rFonts w:ascii="Calibri" w:eastAsia="Times New Roman" w:hAnsi="Calibri" w:cs="Times New Roman"/>
          <w:sz w:val="24"/>
          <w:szCs w:val="24"/>
        </w:rPr>
        <w:t>mastocytosis</w:t>
      </w:r>
      <w:proofErr w:type="spellEnd"/>
      <w:r w:rsidR="005F49DF" w:rsidRPr="00CE119F">
        <w:rPr>
          <w:rFonts w:ascii="Calibri" w:eastAsia="Times New Roman" w:hAnsi="Calibri" w:cs="Times New Roman"/>
          <w:sz w:val="24"/>
          <w:szCs w:val="24"/>
        </w:rPr>
        <w:t xml:space="preserve">, hepatic disease, septicemia, </w:t>
      </w:r>
      <w:proofErr w:type="spellStart"/>
      <w:r w:rsidR="005F49DF" w:rsidRPr="00CE119F">
        <w:rPr>
          <w:rFonts w:ascii="Calibri" w:eastAsia="Times New Roman" w:hAnsi="Calibri" w:cs="Times New Roman"/>
          <w:sz w:val="24"/>
          <w:szCs w:val="24"/>
        </w:rPr>
        <w:t>gastrinoma</w:t>
      </w:r>
      <w:proofErr w:type="spellEnd"/>
      <w:r w:rsidR="005F49DF" w:rsidRPr="00CE119F">
        <w:rPr>
          <w:rFonts w:ascii="Calibri" w:eastAsia="Times New Roman" w:hAnsi="Calibri" w:cs="Times New Roman"/>
          <w:sz w:val="24"/>
          <w:szCs w:val="24"/>
        </w:rPr>
        <w:t>, pyloric outflow obstruction, uremia and stress of major surgery or illness (</w:t>
      </w:r>
      <w:proofErr w:type="spellStart"/>
      <w:r w:rsidR="005F49DF" w:rsidRPr="00CE119F">
        <w:rPr>
          <w:rFonts w:ascii="Calibri" w:eastAsia="Times New Roman" w:hAnsi="Calibri" w:cs="Times New Roman"/>
          <w:sz w:val="24"/>
          <w:szCs w:val="24"/>
        </w:rPr>
        <w:t>Cariou</w:t>
      </w:r>
      <w:proofErr w:type="spellEnd"/>
      <w:r w:rsidR="005F49DF" w:rsidRPr="00CE119F">
        <w:rPr>
          <w:rFonts w:ascii="Calibri" w:eastAsia="Times New Roman" w:hAnsi="Calibri" w:cs="Times New Roman"/>
          <w:sz w:val="24"/>
          <w:szCs w:val="24"/>
        </w:rPr>
        <w:t xml:space="preserve"> et al., 2009). Of these, the only additional factor that was known to be experienced by</w:t>
      </w:r>
      <w:r w:rsidRPr="00CE119F">
        <w:rPr>
          <w:rFonts w:ascii="Calibri" w:eastAsia="Times New Roman" w:hAnsi="Calibri" w:cs="Times New Roman"/>
          <w:sz w:val="24"/>
          <w:szCs w:val="24"/>
        </w:rPr>
        <w:t xml:space="preserve"> this </w:t>
      </w:r>
      <w:r w:rsidR="005F49DF" w:rsidRPr="00CE119F">
        <w:rPr>
          <w:rFonts w:ascii="Calibri" w:eastAsia="Times New Roman" w:hAnsi="Calibri" w:cs="Times New Roman"/>
          <w:sz w:val="24"/>
          <w:szCs w:val="24"/>
        </w:rPr>
        <w:t xml:space="preserve">patient, apart from NSAID use, was stress of a major surgery or illness. </w:t>
      </w:r>
      <w:r w:rsidRPr="00CE119F">
        <w:rPr>
          <w:rFonts w:ascii="Calibri" w:eastAsia="Times New Roman" w:hAnsi="Calibri" w:cs="Times New Roman"/>
          <w:sz w:val="24"/>
          <w:szCs w:val="24"/>
        </w:rPr>
        <w:t xml:space="preserve">The </w:t>
      </w:r>
      <w:r w:rsidR="005F49DF" w:rsidRPr="00CE119F">
        <w:rPr>
          <w:rFonts w:ascii="Calibri" w:eastAsia="Times New Roman" w:hAnsi="Calibri" w:cs="Times New Roman"/>
          <w:sz w:val="24"/>
          <w:szCs w:val="24"/>
        </w:rPr>
        <w:t xml:space="preserve">patient suffered major bite wounds from a dog attack including an ear degloving wound, which needed multiple </w:t>
      </w:r>
      <w:r w:rsidR="005F49DF" w:rsidRPr="00CE119F">
        <w:rPr>
          <w:rFonts w:ascii="Calibri" w:eastAsia="Times New Roman" w:hAnsi="Calibri" w:cs="Times New Roman"/>
          <w:sz w:val="24"/>
          <w:szCs w:val="24"/>
        </w:rPr>
        <w:lastRenderedPageBreak/>
        <w:t xml:space="preserve">procedures and a lengthy treatment. Therefore, it is possible that the cause for gastric perforation was multifactorial.  </w:t>
      </w:r>
    </w:p>
    <w:p w14:paraId="00000021" w14:textId="77777777" w:rsidR="00970D5C" w:rsidRPr="00CE119F" w:rsidRDefault="005F49DF">
      <w:pPr>
        <w:widowControl w:val="0"/>
        <w:spacing w:line="480" w:lineRule="auto"/>
        <w:ind w:firstLine="720"/>
        <w:rPr>
          <w:rFonts w:ascii="Calibri" w:eastAsia="Times New Roman" w:hAnsi="Calibri" w:cs="Times New Roman"/>
          <w:sz w:val="24"/>
          <w:szCs w:val="24"/>
        </w:rPr>
      </w:pPr>
      <w:r w:rsidRPr="00CE119F">
        <w:rPr>
          <w:rFonts w:ascii="Calibri" w:eastAsia="Times New Roman" w:hAnsi="Calibri" w:cs="Times New Roman"/>
          <w:sz w:val="24"/>
          <w:szCs w:val="24"/>
        </w:rPr>
        <w:t>A retrospective study found that gastroduodenal perforations occurred more frequently in middle to older age male dogs (</w:t>
      </w:r>
      <w:proofErr w:type="spellStart"/>
      <w:r w:rsidRPr="00CE119F">
        <w:rPr>
          <w:rFonts w:ascii="Calibri" w:eastAsia="Times New Roman" w:hAnsi="Calibri" w:cs="Times New Roman"/>
          <w:sz w:val="24"/>
          <w:szCs w:val="24"/>
        </w:rPr>
        <w:t>Cariou</w:t>
      </w:r>
      <w:proofErr w:type="spellEnd"/>
      <w:r w:rsidRPr="00CE119F">
        <w:rPr>
          <w:rFonts w:ascii="Calibri" w:eastAsia="Times New Roman" w:hAnsi="Calibri" w:cs="Times New Roman"/>
          <w:sz w:val="24"/>
          <w:szCs w:val="24"/>
        </w:rPr>
        <w:t xml:space="preserve"> et al., 2009). The age might be correlated with the increased use of NSAIDs in this age group. However, the sex predisposition was not clear. Different studies have found that in humans, horses, and rats, females have a higher resistance to gastric ulcers, indicating that circulating estrogen and progesterone may play a role in gastric protection (Kurt et al., 2007).</w:t>
      </w:r>
    </w:p>
    <w:p w14:paraId="00000022" w14:textId="77777777" w:rsidR="00970D5C" w:rsidRPr="00CE119F" w:rsidRDefault="005F49DF">
      <w:pPr>
        <w:widowControl w:val="0"/>
        <w:spacing w:line="480" w:lineRule="auto"/>
        <w:ind w:firstLine="720"/>
        <w:rPr>
          <w:rFonts w:ascii="Calibri" w:eastAsia="Times New Roman" w:hAnsi="Calibri" w:cs="Times New Roman"/>
          <w:sz w:val="24"/>
          <w:szCs w:val="24"/>
        </w:rPr>
      </w:pPr>
      <w:r w:rsidRPr="00CE119F">
        <w:rPr>
          <w:rFonts w:ascii="Calibri" w:eastAsia="Times New Roman" w:hAnsi="Calibri" w:cs="Times New Roman"/>
          <w:sz w:val="24"/>
          <w:szCs w:val="24"/>
        </w:rPr>
        <w:t>The pyloric antrum and pylorus have been described as the most common site for NSAID-related ulcers in the dog (</w:t>
      </w:r>
      <w:proofErr w:type="spellStart"/>
      <w:r w:rsidRPr="00CE119F">
        <w:rPr>
          <w:rFonts w:ascii="Calibri" w:eastAsia="Times New Roman" w:hAnsi="Calibri" w:cs="Times New Roman"/>
          <w:sz w:val="24"/>
          <w:szCs w:val="24"/>
        </w:rPr>
        <w:t>Cariou</w:t>
      </w:r>
      <w:proofErr w:type="spellEnd"/>
      <w:r w:rsidRPr="00CE119F">
        <w:rPr>
          <w:rFonts w:ascii="Calibri" w:eastAsia="Times New Roman" w:hAnsi="Calibri" w:cs="Times New Roman"/>
          <w:sz w:val="24"/>
          <w:szCs w:val="24"/>
        </w:rPr>
        <w:t xml:space="preserve"> et al., 2009). In this case, the location of the perforation was consistent with the data reported. The type of surgery depends on the location and extent of the lesion. For this case, surgical intervention consisted of excision of the edges of the perforation and primary repair. Other reported options include P-Y pyloroplasty, </w:t>
      </w:r>
      <w:proofErr w:type="spellStart"/>
      <w:r w:rsidRPr="00CE119F">
        <w:rPr>
          <w:rFonts w:ascii="Calibri" w:eastAsia="Times New Roman" w:hAnsi="Calibri" w:cs="Times New Roman"/>
          <w:sz w:val="24"/>
          <w:szCs w:val="24"/>
        </w:rPr>
        <w:t>Billroth</w:t>
      </w:r>
      <w:proofErr w:type="spellEnd"/>
      <w:r w:rsidRPr="00CE119F">
        <w:rPr>
          <w:rFonts w:ascii="Calibri" w:eastAsia="Times New Roman" w:hAnsi="Calibri" w:cs="Times New Roman"/>
          <w:sz w:val="24"/>
          <w:szCs w:val="24"/>
        </w:rPr>
        <w:t xml:space="preserve"> I (gastroduodenostomy), or II (gastrojejunostomy). </w:t>
      </w:r>
      <w:proofErr w:type="spellStart"/>
      <w:r w:rsidRPr="00CE119F">
        <w:rPr>
          <w:rFonts w:ascii="Calibri" w:eastAsia="Times New Roman" w:hAnsi="Calibri" w:cs="Times New Roman"/>
          <w:sz w:val="24"/>
          <w:szCs w:val="24"/>
        </w:rPr>
        <w:t>Billroth</w:t>
      </w:r>
      <w:proofErr w:type="spellEnd"/>
      <w:r w:rsidRPr="00CE119F">
        <w:rPr>
          <w:rFonts w:ascii="Calibri" w:eastAsia="Times New Roman" w:hAnsi="Calibri" w:cs="Times New Roman"/>
          <w:sz w:val="24"/>
          <w:szCs w:val="24"/>
        </w:rPr>
        <w:t xml:space="preserve"> I and </w:t>
      </w:r>
      <w:proofErr w:type="spellStart"/>
      <w:r w:rsidRPr="00CE119F">
        <w:rPr>
          <w:rFonts w:ascii="Calibri" w:eastAsia="Times New Roman" w:hAnsi="Calibri" w:cs="Times New Roman"/>
          <w:sz w:val="24"/>
          <w:szCs w:val="24"/>
        </w:rPr>
        <w:t>Billroth</w:t>
      </w:r>
      <w:proofErr w:type="spellEnd"/>
      <w:r w:rsidRPr="00CE119F">
        <w:rPr>
          <w:rFonts w:ascii="Calibri" w:eastAsia="Times New Roman" w:hAnsi="Calibri" w:cs="Times New Roman"/>
          <w:sz w:val="24"/>
          <w:szCs w:val="24"/>
        </w:rPr>
        <w:t xml:space="preserve"> II are rarely done in veterinary medicine due to minimal survival advantage and a poor prognosis. Complications associated with </w:t>
      </w:r>
      <w:proofErr w:type="spellStart"/>
      <w:r w:rsidRPr="00CE119F">
        <w:rPr>
          <w:rFonts w:ascii="Calibri" w:eastAsia="Times New Roman" w:hAnsi="Calibri" w:cs="Times New Roman"/>
          <w:sz w:val="24"/>
          <w:szCs w:val="24"/>
        </w:rPr>
        <w:t>Billroth</w:t>
      </w:r>
      <w:proofErr w:type="spellEnd"/>
      <w:r w:rsidRPr="00CE119F">
        <w:rPr>
          <w:rFonts w:ascii="Calibri" w:eastAsia="Times New Roman" w:hAnsi="Calibri" w:cs="Times New Roman"/>
          <w:sz w:val="24"/>
          <w:szCs w:val="24"/>
        </w:rPr>
        <w:t xml:space="preserve"> I include pancreatitis, aspiration pneumonia, sepsis, and mentation change (Araújo et al., 2022). A common complication of </w:t>
      </w:r>
      <w:proofErr w:type="spellStart"/>
      <w:r w:rsidRPr="00CE119F">
        <w:rPr>
          <w:rFonts w:ascii="Calibri" w:eastAsia="Times New Roman" w:hAnsi="Calibri" w:cs="Times New Roman"/>
          <w:sz w:val="24"/>
          <w:szCs w:val="24"/>
        </w:rPr>
        <w:t>Billroth</w:t>
      </w:r>
      <w:proofErr w:type="spellEnd"/>
      <w:r w:rsidRPr="00CE119F">
        <w:rPr>
          <w:rFonts w:ascii="Calibri" w:eastAsia="Times New Roman" w:hAnsi="Calibri" w:cs="Times New Roman"/>
          <w:sz w:val="24"/>
          <w:szCs w:val="24"/>
        </w:rPr>
        <w:t xml:space="preserve"> II is known as "dumping syndrome", which includes chronic vomiting, diarrhea, anorexia, and weight loss (</w:t>
      </w:r>
      <w:proofErr w:type="spellStart"/>
      <w:r w:rsidRPr="00CE119F">
        <w:rPr>
          <w:rFonts w:ascii="Calibri" w:eastAsia="Times New Roman" w:hAnsi="Calibri" w:cs="Times New Roman"/>
          <w:sz w:val="24"/>
          <w:szCs w:val="24"/>
        </w:rPr>
        <w:t>Dobberstein</w:t>
      </w:r>
      <w:proofErr w:type="spellEnd"/>
      <w:r w:rsidRPr="00CE119F">
        <w:rPr>
          <w:rFonts w:ascii="Calibri" w:eastAsia="Times New Roman" w:hAnsi="Calibri" w:cs="Times New Roman"/>
          <w:sz w:val="24"/>
          <w:szCs w:val="24"/>
        </w:rPr>
        <w:t xml:space="preserve"> et al., 2022). </w:t>
      </w:r>
    </w:p>
    <w:p w14:paraId="393C8B7B" w14:textId="6631FBC2" w:rsidR="00BA09DB" w:rsidRPr="00CE119F" w:rsidRDefault="005F49DF" w:rsidP="00BA09DB">
      <w:pPr>
        <w:widowControl w:val="0"/>
        <w:spacing w:line="480" w:lineRule="auto"/>
        <w:ind w:firstLine="720"/>
        <w:rPr>
          <w:rFonts w:ascii="Calibri" w:eastAsia="Times New Roman" w:hAnsi="Calibri" w:cs="Times New Roman"/>
          <w:sz w:val="24"/>
          <w:szCs w:val="24"/>
        </w:rPr>
      </w:pPr>
      <w:r w:rsidRPr="00CE119F">
        <w:rPr>
          <w:rFonts w:ascii="Calibri" w:eastAsia="Times New Roman" w:hAnsi="Calibri" w:cs="Times New Roman"/>
          <w:sz w:val="24"/>
          <w:szCs w:val="24"/>
        </w:rPr>
        <w:t xml:space="preserve">Gastric perforation results in gastrointestinal (GI) tract leakage and bacterial contamination of the abdomen, which is a condition called septic peritonitis. The exact prognosis for animals treated for gastric perforation secondary to NSAID use is not well </w:t>
      </w:r>
      <w:r w:rsidRPr="00CE119F">
        <w:rPr>
          <w:rFonts w:ascii="Calibri" w:eastAsia="Times New Roman" w:hAnsi="Calibri" w:cs="Times New Roman"/>
          <w:sz w:val="24"/>
          <w:szCs w:val="24"/>
        </w:rPr>
        <w:lastRenderedPageBreak/>
        <w:t>established. However, it is known that septic peritonitis is associated with a guarded to poor prognosis, with most studies reporting survival rates of approximately 50% (Bush et al., 2016). Similarly, the results of a retrospective study of 15 dogs with spontaneous gastroduodenal perforation showed that seven of the 15 dogs (47%) died or were euthanized at surgery (</w:t>
      </w:r>
      <w:proofErr w:type="spellStart"/>
      <w:r w:rsidRPr="00CE119F">
        <w:rPr>
          <w:rFonts w:ascii="Calibri" w:eastAsia="Times New Roman" w:hAnsi="Calibri" w:cs="Times New Roman"/>
          <w:sz w:val="24"/>
          <w:szCs w:val="24"/>
        </w:rPr>
        <w:t>Cariou</w:t>
      </w:r>
      <w:proofErr w:type="spellEnd"/>
      <w:r w:rsidRPr="00CE119F">
        <w:rPr>
          <w:rFonts w:ascii="Calibri" w:eastAsia="Times New Roman" w:hAnsi="Calibri" w:cs="Times New Roman"/>
          <w:sz w:val="24"/>
          <w:szCs w:val="24"/>
        </w:rPr>
        <w:t xml:space="preserve"> et al., 2009). Thus,</w:t>
      </w:r>
      <w:r w:rsidR="00D72629" w:rsidRPr="00CE119F">
        <w:rPr>
          <w:rFonts w:ascii="Calibri" w:eastAsia="Times New Roman" w:hAnsi="Calibri" w:cs="Times New Roman"/>
          <w:sz w:val="24"/>
          <w:szCs w:val="24"/>
        </w:rPr>
        <w:t xml:space="preserve"> </w:t>
      </w:r>
      <w:r w:rsidRPr="00CE119F">
        <w:rPr>
          <w:rFonts w:ascii="Calibri" w:eastAsia="Times New Roman" w:hAnsi="Calibri" w:cs="Times New Roman"/>
          <w:sz w:val="24"/>
          <w:szCs w:val="24"/>
        </w:rPr>
        <w:t xml:space="preserve">gastric perforation, which leads to septic peritonitis, has a </w:t>
      </w:r>
      <w:r w:rsidR="00E40FBE" w:rsidRPr="00CE119F">
        <w:rPr>
          <w:rFonts w:ascii="Calibri" w:eastAsia="Times New Roman" w:hAnsi="Calibri" w:cs="Times New Roman"/>
          <w:sz w:val="24"/>
          <w:szCs w:val="24"/>
        </w:rPr>
        <w:t>guarded-to-poor</w:t>
      </w:r>
      <w:r w:rsidRPr="00CE119F">
        <w:rPr>
          <w:rFonts w:ascii="Calibri" w:eastAsia="Times New Roman" w:hAnsi="Calibri" w:cs="Times New Roman"/>
          <w:sz w:val="24"/>
          <w:szCs w:val="24"/>
        </w:rPr>
        <w:t xml:space="preserve"> prognosis. </w:t>
      </w:r>
    </w:p>
    <w:p w14:paraId="07C0876F" w14:textId="77777777" w:rsidR="000922C7" w:rsidRPr="00CE119F" w:rsidRDefault="000922C7">
      <w:pPr>
        <w:widowControl w:val="0"/>
        <w:spacing w:line="480" w:lineRule="auto"/>
        <w:rPr>
          <w:rFonts w:ascii="Calibri" w:eastAsia="Times New Roman" w:hAnsi="Calibri" w:cs="Times New Roman"/>
          <w:b/>
          <w:sz w:val="24"/>
          <w:szCs w:val="24"/>
        </w:rPr>
      </w:pPr>
    </w:p>
    <w:p w14:paraId="4085FE52" w14:textId="77777777" w:rsidR="000922C7" w:rsidRPr="00CE119F" w:rsidRDefault="000922C7">
      <w:pPr>
        <w:widowControl w:val="0"/>
        <w:spacing w:line="480" w:lineRule="auto"/>
        <w:rPr>
          <w:rFonts w:ascii="Calibri" w:eastAsia="Times New Roman" w:hAnsi="Calibri" w:cs="Times New Roman"/>
          <w:b/>
          <w:sz w:val="24"/>
          <w:szCs w:val="24"/>
        </w:rPr>
      </w:pPr>
    </w:p>
    <w:p w14:paraId="44BD759C" w14:textId="77777777" w:rsidR="000922C7" w:rsidRPr="00CE119F" w:rsidRDefault="000922C7">
      <w:pPr>
        <w:widowControl w:val="0"/>
        <w:spacing w:line="480" w:lineRule="auto"/>
        <w:rPr>
          <w:rFonts w:ascii="Calibri" w:eastAsia="Times New Roman" w:hAnsi="Calibri" w:cs="Times New Roman"/>
          <w:b/>
          <w:sz w:val="24"/>
          <w:szCs w:val="24"/>
        </w:rPr>
      </w:pPr>
    </w:p>
    <w:p w14:paraId="7B1E6139" w14:textId="77777777" w:rsidR="000922C7" w:rsidRPr="00CE119F" w:rsidRDefault="000922C7">
      <w:pPr>
        <w:widowControl w:val="0"/>
        <w:spacing w:line="480" w:lineRule="auto"/>
        <w:rPr>
          <w:rFonts w:ascii="Calibri" w:eastAsia="Times New Roman" w:hAnsi="Calibri" w:cs="Times New Roman"/>
          <w:b/>
          <w:sz w:val="24"/>
          <w:szCs w:val="24"/>
        </w:rPr>
      </w:pPr>
    </w:p>
    <w:p w14:paraId="1CB3BEDC" w14:textId="77777777" w:rsidR="000922C7" w:rsidRPr="00CE119F" w:rsidRDefault="000922C7">
      <w:pPr>
        <w:widowControl w:val="0"/>
        <w:spacing w:line="480" w:lineRule="auto"/>
        <w:rPr>
          <w:rFonts w:ascii="Calibri" w:eastAsia="Times New Roman" w:hAnsi="Calibri" w:cs="Times New Roman"/>
          <w:b/>
          <w:sz w:val="24"/>
          <w:szCs w:val="24"/>
        </w:rPr>
      </w:pPr>
    </w:p>
    <w:p w14:paraId="40F1426D" w14:textId="77777777" w:rsidR="000922C7" w:rsidRPr="00CE119F" w:rsidRDefault="000922C7">
      <w:pPr>
        <w:widowControl w:val="0"/>
        <w:spacing w:line="480" w:lineRule="auto"/>
        <w:rPr>
          <w:rFonts w:ascii="Calibri" w:eastAsia="Times New Roman" w:hAnsi="Calibri" w:cs="Times New Roman"/>
          <w:b/>
          <w:sz w:val="24"/>
          <w:szCs w:val="24"/>
        </w:rPr>
      </w:pPr>
    </w:p>
    <w:p w14:paraId="20743AE8" w14:textId="77777777" w:rsidR="000922C7" w:rsidRPr="00CE119F" w:rsidRDefault="000922C7">
      <w:pPr>
        <w:widowControl w:val="0"/>
        <w:spacing w:line="480" w:lineRule="auto"/>
        <w:rPr>
          <w:rFonts w:ascii="Calibri" w:eastAsia="Times New Roman" w:hAnsi="Calibri" w:cs="Times New Roman"/>
          <w:b/>
          <w:sz w:val="24"/>
          <w:szCs w:val="24"/>
        </w:rPr>
      </w:pPr>
    </w:p>
    <w:p w14:paraId="01834208" w14:textId="77777777" w:rsidR="001D6793" w:rsidRPr="00CE119F" w:rsidRDefault="001D6793">
      <w:pPr>
        <w:widowControl w:val="0"/>
        <w:spacing w:line="480" w:lineRule="auto"/>
        <w:rPr>
          <w:rFonts w:ascii="Calibri" w:eastAsia="Times New Roman" w:hAnsi="Calibri" w:cs="Times New Roman"/>
          <w:b/>
          <w:sz w:val="24"/>
          <w:szCs w:val="24"/>
        </w:rPr>
      </w:pPr>
    </w:p>
    <w:p w14:paraId="0E33FFB7" w14:textId="77777777" w:rsidR="00CE119F" w:rsidRDefault="00CE119F">
      <w:pPr>
        <w:widowControl w:val="0"/>
        <w:spacing w:line="480" w:lineRule="auto"/>
        <w:rPr>
          <w:rFonts w:ascii="Calibri" w:eastAsia="Times New Roman" w:hAnsi="Calibri" w:cs="Times New Roman"/>
          <w:b/>
          <w:sz w:val="24"/>
          <w:szCs w:val="24"/>
          <w:lang w:val="es-CL"/>
        </w:rPr>
      </w:pPr>
    </w:p>
    <w:p w14:paraId="3932BA24" w14:textId="77777777" w:rsidR="00CE119F" w:rsidRDefault="00CE119F">
      <w:pPr>
        <w:widowControl w:val="0"/>
        <w:spacing w:line="480" w:lineRule="auto"/>
        <w:rPr>
          <w:rFonts w:ascii="Calibri" w:eastAsia="Times New Roman" w:hAnsi="Calibri" w:cs="Times New Roman"/>
          <w:b/>
          <w:sz w:val="24"/>
          <w:szCs w:val="24"/>
          <w:lang w:val="es-CL"/>
        </w:rPr>
      </w:pPr>
    </w:p>
    <w:p w14:paraId="47951FC5" w14:textId="77777777" w:rsidR="00CE119F" w:rsidRDefault="00CE119F">
      <w:pPr>
        <w:widowControl w:val="0"/>
        <w:spacing w:line="480" w:lineRule="auto"/>
        <w:rPr>
          <w:rFonts w:ascii="Calibri" w:eastAsia="Times New Roman" w:hAnsi="Calibri" w:cs="Times New Roman"/>
          <w:b/>
          <w:sz w:val="24"/>
          <w:szCs w:val="24"/>
          <w:lang w:val="es-CL"/>
        </w:rPr>
      </w:pPr>
    </w:p>
    <w:p w14:paraId="2E209DA6" w14:textId="77777777" w:rsidR="00CE119F" w:rsidRDefault="00CE119F">
      <w:pPr>
        <w:widowControl w:val="0"/>
        <w:spacing w:line="480" w:lineRule="auto"/>
        <w:rPr>
          <w:rFonts w:ascii="Calibri" w:eastAsia="Times New Roman" w:hAnsi="Calibri" w:cs="Times New Roman"/>
          <w:b/>
          <w:sz w:val="24"/>
          <w:szCs w:val="24"/>
          <w:lang w:val="es-CL"/>
        </w:rPr>
      </w:pPr>
    </w:p>
    <w:p w14:paraId="7C7D5B6D" w14:textId="77777777" w:rsidR="00CE119F" w:rsidRDefault="00CE119F">
      <w:pPr>
        <w:widowControl w:val="0"/>
        <w:spacing w:line="480" w:lineRule="auto"/>
        <w:rPr>
          <w:rFonts w:ascii="Calibri" w:eastAsia="Times New Roman" w:hAnsi="Calibri" w:cs="Times New Roman"/>
          <w:b/>
          <w:sz w:val="24"/>
          <w:szCs w:val="24"/>
          <w:lang w:val="es-CL"/>
        </w:rPr>
      </w:pPr>
    </w:p>
    <w:p w14:paraId="7D01B5C1" w14:textId="77777777" w:rsidR="00CE119F" w:rsidRDefault="00CE119F">
      <w:pPr>
        <w:widowControl w:val="0"/>
        <w:spacing w:line="480" w:lineRule="auto"/>
        <w:rPr>
          <w:rFonts w:ascii="Calibri" w:eastAsia="Times New Roman" w:hAnsi="Calibri" w:cs="Times New Roman"/>
          <w:b/>
          <w:sz w:val="24"/>
          <w:szCs w:val="24"/>
          <w:lang w:val="es-CL"/>
        </w:rPr>
      </w:pPr>
    </w:p>
    <w:p w14:paraId="24BBA08A" w14:textId="77777777" w:rsidR="00CE119F" w:rsidRDefault="00CE119F">
      <w:pPr>
        <w:widowControl w:val="0"/>
        <w:spacing w:line="480" w:lineRule="auto"/>
        <w:rPr>
          <w:rFonts w:ascii="Calibri" w:eastAsia="Times New Roman" w:hAnsi="Calibri" w:cs="Times New Roman"/>
          <w:b/>
          <w:sz w:val="24"/>
          <w:szCs w:val="24"/>
          <w:lang w:val="es-CL"/>
        </w:rPr>
      </w:pPr>
    </w:p>
    <w:p w14:paraId="4745FB6C" w14:textId="77777777" w:rsidR="00CE119F" w:rsidRDefault="00CE119F">
      <w:pPr>
        <w:widowControl w:val="0"/>
        <w:spacing w:line="480" w:lineRule="auto"/>
        <w:rPr>
          <w:rFonts w:ascii="Calibri" w:eastAsia="Times New Roman" w:hAnsi="Calibri" w:cs="Times New Roman"/>
          <w:b/>
          <w:sz w:val="24"/>
          <w:szCs w:val="24"/>
          <w:lang w:val="es-CL"/>
        </w:rPr>
      </w:pPr>
    </w:p>
    <w:p w14:paraId="00000025" w14:textId="54186776" w:rsidR="00970D5C" w:rsidRPr="00CE119F" w:rsidRDefault="005F49DF">
      <w:pPr>
        <w:widowControl w:val="0"/>
        <w:spacing w:line="480" w:lineRule="auto"/>
        <w:rPr>
          <w:rFonts w:ascii="Calibri" w:eastAsia="Times New Roman" w:hAnsi="Calibri" w:cs="Times New Roman"/>
          <w:bCs/>
          <w:color w:val="1F497D" w:themeColor="text2"/>
          <w:sz w:val="32"/>
          <w:szCs w:val="32"/>
          <w:lang w:val="es-CL"/>
        </w:rPr>
      </w:pPr>
      <w:r w:rsidRPr="00CE119F">
        <w:rPr>
          <w:rFonts w:ascii="Calibri" w:eastAsia="Times New Roman" w:hAnsi="Calibri" w:cs="Times New Roman"/>
          <w:bCs/>
          <w:color w:val="1F497D" w:themeColor="text2"/>
          <w:sz w:val="32"/>
          <w:szCs w:val="32"/>
          <w:lang w:val="es-CL"/>
        </w:rPr>
        <w:lastRenderedPageBreak/>
        <w:t xml:space="preserve">References </w:t>
      </w:r>
    </w:p>
    <w:p w14:paraId="00000026" w14:textId="6711A053" w:rsidR="00970D5C" w:rsidRPr="00CE119F" w:rsidRDefault="005F49DF">
      <w:pPr>
        <w:widowControl w:val="0"/>
        <w:spacing w:line="480" w:lineRule="auto"/>
        <w:rPr>
          <w:rFonts w:ascii="Calibri" w:eastAsia="Times New Roman" w:hAnsi="Calibri" w:cs="Times New Roman"/>
          <w:sz w:val="24"/>
          <w:szCs w:val="24"/>
        </w:rPr>
      </w:pPr>
      <w:r w:rsidRPr="00CE119F">
        <w:rPr>
          <w:rFonts w:ascii="Calibri" w:eastAsia="Times New Roman" w:hAnsi="Calibri" w:cs="Times New Roman"/>
          <w:sz w:val="24"/>
          <w:szCs w:val="24"/>
          <w:lang w:val="es-CL"/>
        </w:rPr>
        <w:t xml:space="preserve">Araújo, D., Cabral, I., Vale, N., &amp; Amorim, I. (2022). </w:t>
      </w:r>
      <w:r w:rsidRPr="00CE119F">
        <w:rPr>
          <w:rFonts w:ascii="Calibri" w:eastAsia="Times New Roman" w:hAnsi="Calibri" w:cs="Times New Roman"/>
          <w:sz w:val="24"/>
          <w:szCs w:val="24"/>
        </w:rPr>
        <w:t xml:space="preserve">Canine </w:t>
      </w:r>
      <w:r w:rsidR="00D72629" w:rsidRPr="00CE119F">
        <w:rPr>
          <w:rFonts w:ascii="Calibri" w:eastAsia="Times New Roman" w:hAnsi="Calibri" w:cs="Times New Roman"/>
          <w:sz w:val="24"/>
          <w:szCs w:val="24"/>
        </w:rPr>
        <w:t>g</w:t>
      </w:r>
      <w:r w:rsidRPr="00CE119F">
        <w:rPr>
          <w:rFonts w:ascii="Calibri" w:eastAsia="Times New Roman" w:hAnsi="Calibri" w:cs="Times New Roman"/>
          <w:sz w:val="24"/>
          <w:szCs w:val="24"/>
        </w:rPr>
        <w:t xml:space="preserve">astric </w:t>
      </w:r>
      <w:r w:rsidR="00D72629" w:rsidRPr="00CE119F">
        <w:rPr>
          <w:rFonts w:ascii="Calibri" w:eastAsia="Times New Roman" w:hAnsi="Calibri" w:cs="Times New Roman"/>
          <w:sz w:val="24"/>
          <w:szCs w:val="24"/>
        </w:rPr>
        <w:t>c</w:t>
      </w:r>
      <w:r w:rsidRPr="00CE119F">
        <w:rPr>
          <w:rFonts w:ascii="Calibri" w:eastAsia="Times New Roman" w:hAnsi="Calibri" w:cs="Times New Roman"/>
          <w:sz w:val="24"/>
          <w:szCs w:val="24"/>
        </w:rPr>
        <w:t xml:space="preserve">ancer: </w:t>
      </w:r>
      <w:r w:rsidR="00D72629" w:rsidRPr="00CE119F">
        <w:rPr>
          <w:rFonts w:ascii="Calibri" w:eastAsia="Times New Roman" w:hAnsi="Calibri" w:cs="Times New Roman"/>
          <w:sz w:val="24"/>
          <w:szCs w:val="24"/>
        </w:rPr>
        <w:t>c</w:t>
      </w:r>
      <w:r w:rsidRPr="00CE119F">
        <w:rPr>
          <w:rFonts w:ascii="Calibri" w:eastAsia="Times New Roman" w:hAnsi="Calibri" w:cs="Times New Roman"/>
          <w:sz w:val="24"/>
          <w:szCs w:val="24"/>
        </w:rPr>
        <w:t xml:space="preserve">urrent </w:t>
      </w:r>
      <w:r w:rsidR="00D72629" w:rsidRPr="00CE119F">
        <w:rPr>
          <w:rFonts w:ascii="Calibri" w:eastAsia="Times New Roman" w:hAnsi="Calibri" w:cs="Times New Roman"/>
          <w:sz w:val="24"/>
          <w:szCs w:val="24"/>
        </w:rPr>
        <w:t>t</w:t>
      </w:r>
      <w:r w:rsidRPr="00CE119F">
        <w:rPr>
          <w:rFonts w:ascii="Calibri" w:eastAsia="Times New Roman" w:hAnsi="Calibri" w:cs="Times New Roman"/>
          <w:sz w:val="24"/>
          <w:szCs w:val="24"/>
        </w:rPr>
        <w:t xml:space="preserve">reatment </w:t>
      </w:r>
      <w:r w:rsidR="00D72629" w:rsidRPr="00CE119F">
        <w:rPr>
          <w:rFonts w:ascii="Calibri" w:eastAsia="Times New Roman" w:hAnsi="Calibri" w:cs="Times New Roman"/>
          <w:sz w:val="24"/>
          <w:szCs w:val="24"/>
        </w:rPr>
        <w:t>a</w:t>
      </w:r>
      <w:r w:rsidRPr="00CE119F">
        <w:rPr>
          <w:rFonts w:ascii="Calibri" w:eastAsia="Times New Roman" w:hAnsi="Calibri" w:cs="Times New Roman"/>
          <w:sz w:val="24"/>
          <w:szCs w:val="24"/>
        </w:rPr>
        <w:t xml:space="preserve">pproaches. </w:t>
      </w:r>
      <w:r w:rsidRPr="00CE119F">
        <w:rPr>
          <w:rFonts w:ascii="Calibri" w:eastAsia="Times New Roman" w:hAnsi="Calibri" w:cs="Times New Roman"/>
          <w:i/>
          <w:sz w:val="24"/>
          <w:szCs w:val="24"/>
        </w:rPr>
        <w:t>Veterinary Sciences</w:t>
      </w:r>
      <w:r w:rsidRPr="00CE119F">
        <w:rPr>
          <w:rFonts w:ascii="Calibri" w:eastAsia="Times New Roman" w:hAnsi="Calibri" w:cs="Times New Roman"/>
          <w:sz w:val="24"/>
          <w:szCs w:val="24"/>
        </w:rPr>
        <w:t>, 9(8), 383.</w:t>
      </w:r>
    </w:p>
    <w:p w14:paraId="00000027" w14:textId="77777777" w:rsidR="00970D5C" w:rsidRPr="00CE119F" w:rsidRDefault="005F49DF">
      <w:pPr>
        <w:widowControl w:val="0"/>
        <w:spacing w:line="480" w:lineRule="auto"/>
        <w:rPr>
          <w:rFonts w:ascii="Calibri" w:eastAsia="Times New Roman" w:hAnsi="Calibri" w:cs="Times New Roman"/>
          <w:sz w:val="24"/>
          <w:szCs w:val="24"/>
        </w:rPr>
      </w:pPr>
      <w:r w:rsidRPr="00CE119F">
        <w:rPr>
          <w:rFonts w:ascii="Calibri" w:eastAsia="Times New Roman" w:hAnsi="Calibri" w:cs="Times New Roman"/>
          <w:sz w:val="24"/>
          <w:szCs w:val="24"/>
        </w:rPr>
        <w:t xml:space="preserve">Bush, M., </w:t>
      </w:r>
      <w:proofErr w:type="spellStart"/>
      <w:r w:rsidRPr="00CE119F">
        <w:rPr>
          <w:rFonts w:ascii="Calibri" w:eastAsia="Times New Roman" w:hAnsi="Calibri" w:cs="Times New Roman"/>
          <w:sz w:val="24"/>
          <w:szCs w:val="24"/>
        </w:rPr>
        <w:t>Carno</w:t>
      </w:r>
      <w:proofErr w:type="spellEnd"/>
      <w:r w:rsidRPr="00CE119F">
        <w:rPr>
          <w:rFonts w:ascii="Calibri" w:eastAsia="Times New Roman" w:hAnsi="Calibri" w:cs="Times New Roman"/>
          <w:sz w:val="24"/>
          <w:szCs w:val="24"/>
        </w:rPr>
        <w:t xml:space="preserve">, M. A., Germaine, L. S., &amp; Hoffmann, D. E. (2016). The effect of time until surgical intervention on survival in dogs with secondary septic peritonitis. </w:t>
      </w:r>
      <w:r w:rsidRPr="00CE119F">
        <w:rPr>
          <w:rFonts w:ascii="Calibri" w:eastAsia="Times New Roman" w:hAnsi="Calibri" w:cs="Times New Roman"/>
          <w:i/>
          <w:sz w:val="24"/>
          <w:szCs w:val="24"/>
        </w:rPr>
        <w:t>The Canadian Veterinary Journal</w:t>
      </w:r>
      <w:r w:rsidRPr="00CE119F">
        <w:rPr>
          <w:rFonts w:ascii="Calibri" w:eastAsia="Times New Roman" w:hAnsi="Calibri" w:cs="Times New Roman"/>
          <w:sz w:val="24"/>
          <w:szCs w:val="24"/>
        </w:rPr>
        <w:t xml:space="preserve">, </w:t>
      </w:r>
      <w:r w:rsidRPr="00CE119F">
        <w:rPr>
          <w:rFonts w:ascii="Calibri" w:eastAsia="Times New Roman" w:hAnsi="Calibri" w:cs="Times New Roman"/>
          <w:i/>
          <w:sz w:val="24"/>
          <w:szCs w:val="24"/>
        </w:rPr>
        <w:t>57</w:t>
      </w:r>
      <w:r w:rsidRPr="00CE119F">
        <w:rPr>
          <w:rFonts w:ascii="Calibri" w:eastAsia="Times New Roman" w:hAnsi="Calibri" w:cs="Times New Roman"/>
          <w:sz w:val="24"/>
          <w:szCs w:val="24"/>
        </w:rPr>
        <w:t>(12), 1267-1273.</w:t>
      </w:r>
    </w:p>
    <w:p w14:paraId="00000028" w14:textId="77777777" w:rsidR="00970D5C" w:rsidRPr="00CE119F" w:rsidRDefault="005F49DF">
      <w:pPr>
        <w:widowControl w:val="0"/>
        <w:spacing w:line="480" w:lineRule="auto"/>
        <w:rPr>
          <w:rFonts w:ascii="Calibri" w:eastAsia="Times New Roman" w:hAnsi="Calibri" w:cs="Times New Roman"/>
          <w:sz w:val="24"/>
          <w:szCs w:val="24"/>
        </w:rPr>
      </w:pPr>
      <w:proofErr w:type="spellStart"/>
      <w:r w:rsidRPr="00CE119F">
        <w:rPr>
          <w:rFonts w:ascii="Calibri" w:eastAsia="Times New Roman" w:hAnsi="Calibri" w:cs="Times New Roman"/>
          <w:sz w:val="24"/>
          <w:szCs w:val="24"/>
        </w:rPr>
        <w:t>Cariou</w:t>
      </w:r>
      <w:proofErr w:type="spellEnd"/>
      <w:r w:rsidRPr="00CE119F">
        <w:rPr>
          <w:rFonts w:ascii="Calibri" w:eastAsia="Times New Roman" w:hAnsi="Calibri" w:cs="Times New Roman"/>
          <w:sz w:val="24"/>
          <w:szCs w:val="24"/>
        </w:rPr>
        <w:t xml:space="preserve">, M., Lipscomb, V. J., Brockman, D. J., Gregory, S. P., &amp; Baines, S. J. (2009). Spontaneous gastroduodenal perforations in dogs—a retrospective study of 15 cases. </w:t>
      </w:r>
      <w:r w:rsidRPr="00CE119F">
        <w:rPr>
          <w:rFonts w:ascii="Calibri" w:eastAsia="Times New Roman" w:hAnsi="Calibri" w:cs="Times New Roman"/>
          <w:i/>
          <w:sz w:val="24"/>
          <w:szCs w:val="24"/>
        </w:rPr>
        <w:t>Veterinary Record</w:t>
      </w:r>
      <w:r w:rsidRPr="00CE119F">
        <w:rPr>
          <w:rFonts w:ascii="Calibri" w:eastAsia="Times New Roman" w:hAnsi="Calibri" w:cs="Times New Roman"/>
          <w:sz w:val="24"/>
          <w:szCs w:val="24"/>
        </w:rPr>
        <w:t xml:space="preserve">, </w:t>
      </w:r>
      <w:r w:rsidRPr="00CE119F">
        <w:rPr>
          <w:rFonts w:ascii="Calibri" w:eastAsia="Times New Roman" w:hAnsi="Calibri" w:cs="Times New Roman"/>
          <w:i/>
          <w:sz w:val="24"/>
          <w:szCs w:val="24"/>
        </w:rPr>
        <w:t>165</w:t>
      </w:r>
      <w:r w:rsidRPr="00CE119F">
        <w:rPr>
          <w:rFonts w:ascii="Calibri" w:eastAsia="Times New Roman" w:hAnsi="Calibri" w:cs="Times New Roman"/>
          <w:sz w:val="24"/>
          <w:szCs w:val="24"/>
        </w:rPr>
        <w:t>(15), 436-441.</w:t>
      </w:r>
    </w:p>
    <w:p w14:paraId="00000029" w14:textId="77777777" w:rsidR="00970D5C" w:rsidRPr="00CE119F" w:rsidRDefault="005F49DF">
      <w:pPr>
        <w:widowControl w:val="0"/>
        <w:spacing w:line="480" w:lineRule="auto"/>
        <w:rPr>
          <w:rFonts w:ascii="Calibri" w:eastAsia="Times New Roman" w:hAnsi="Calibri" w:cs="Times New Roman"/>
          <w:sz w:val="24"/>
          <w:szCs w:val="24"/>
        </w:rPr>
      </w:pPr>
      <w:proofErr w:type="spellStart"/>
      <w:r w:rsidRPr="00CE119F">
        <w:rPr>
          <w:rFonts w:ascii="Calibri" w:eastAsia="Times New Roman" w:hAnsi="Calibri" w:cs="Times New Roman"/>
          <w:sz w:val="24"/>
          <w:szCs w:val="24"/>
        </w:rPr>
        <w:t>Dobberstein</w:t>
      </w:r>
      <w:proofErr w:type="spellEnd"/>
      <w:r w:rsidRPr="00CE119F">
        <w:rPr>
          <w:rFonts w:ascii="Calibri" w:eastAsia="Times New Roman" w:hAnsi="Calibri" w:cs="Times New Roman"/>
          <w:sz w:val="24"/>
          <w:szCs w:val="24"/>
        </w:rPr>
        <w:t xml:space="preserve">, R. E., </w:t>
      </w:r>
      <w:proofErr w:type="spellStart"/>
      <w:r w:rsidRPr="00CE119F">
        <w:rPr>
          <w:rFonts w:ascii="Calibri" w:eastAsia="Times New Roman" w:hAnsi="Calibri" w:cs="Times New Roman"/>
          <w:sz w:val="24"/>
          <w:szCs w:val="24"/>
        </w:rPr>
        <w:t>Oblak</w:t>
      </w:r>
      <w:proofErr w:type="spellEnd"/>
      <w:r w:rsidRPr="00CE119F">
        <w:rPr>
          <w:rFonts w:ascii="Calibri" w:eastAsia="Times New Roman" w:hAnsi="Calibri" w:cs="Times New Roman"/>
          <w:sz w:val="24"/>
          <w:szCs w:val="24"/>
        </w:rPr>
        <w:t xml:space="preserve">, M. L., Brisson, B. A., Singh, A., </w:t>
      </w:r>
      <w:proofErr w:type="spellStart"/>
      <w:r w:rsidRPr="00CE119F">
        <w:rPr>
          <w:rFonts w:ascii="Calibri" w:eastAsia="Times New Roman" w:hAnsi="Calibri" w:cs="Times New Roman"/>
          <w:sz w:val="24"/>
          <w:szCs w:val="24"/>
        </w:rPr>
        <w:t>Moens</w:t>
      </w:r>
      <w:proofErr w:type="spellEnd"/>
      <w:r w:rsidRPr="00CE119F">
        <w:rPr>
          <w:rFonts w:ascii="Calibri" w:eastAsia="Times New Roman" w:hAnsi="Calibri" w:cs="Times New Roman"/>
          <w:sz w:val="24"/>
          <w:szCs w:val="24"/>
        </w:rPr>
        <w:t xml:space="preserve">, N. M., &amp; Ayoub, S. (2022). Primary repair of nonsteroidal anti‐inflammatory drug‐associated full thickness gastrointestinal ulcers in 11 dogs. </w:t>
      </w:r>
      <w:r w:rsidRPr="00CE119F">
        <w:rPr>
          <w:rFonts w:ascii="Calibri" w:eastAsia="Times New Roman" w:hAnsi="Calibri" w:cs="Times New Roman"/>
          <w:i/>
          <w:sz w:val="24"/>
          <w:szCs w:val="24"/>
        </w:rPr>
        <w:t>Veterinary Surgery</w:t>
      </w:r>
      <w:r w:rsidRPr="00CE119F">
        <w:rPr>
          <w:rFonts w:ascii="Calibri" w:eastAsia="Times New Roman" w:hAnsi="Calibri" w:cs="Times New Roman"/>
          <w:sz w:val="24"/>
          <w:szCs w:val="24"/>
        </w:rPr>
        <w:t xml:space="preserve">, </w:t>
      </w:r>
      <w:r w:rsidRPr="00CE119F">
        <w:rPr>
          <w:rFonts w:ascii="Calibri" w:eastAsia="Times New Roman" w:hAnsi="Calibri" w:cs="Times New Roman"/>
          <w:i/>
          <w:sz w:val="24"/>
          <w:szCs w:val="24"/>
        </w:rPr>
        <w:t>51</w:t>
      </w:r>
      <w:r w:rsidRPr="00CE119F">
        <w:rPr>
          <w:rFonts w:ascii="Calibri" w:eastAsia="Times New Roman" w:hAnsi="Calibri" w:cs="Times New Roman"/>
          <w:sz w:val="24"/>
          <w:szCs w:val="24"/>
        </w:rPr>
        <w:t>(7), 1096-1105.</w:t>
      </w:r>
    </w:p>
    <w:p w14:paraId="0000002A" w14:textId="77777777" w:rsidR="00970D5C" w:rsidRPr="00CE119F" w:rsidRDefault="005F49DF">
      <w:pPr>
        <w:widowControl w:val="0"/>
        <w:spacing w:line="480" w:lineRule="auto"/>
        <w:rPr>
          <w:rFonts w:ascii="Calibri" w:eastAsia="Times New Roman" w:hAnsi="Calibri" w:cs="Times New Roman"/>
          <w:sz w:val="24"/>
          <w:szCs w:val="24"/>
        </w:rPr>
      </w:pPr>
      <w:proofErr w:type="spellStart"/>
      <w:r w:rsidRPr="00CE119F">
        <w:rPr>
          <w:rFonts w:ascii="Calibri" w:eastAsia="Times New Roman" w:hAnsi="Calibri" w:cs="Times New Roman"/>
          <w:sz w:val="24"/>
          <w:szCs w:val="24"/>
        </w:rPr>
        <w:t>Ghlichloo</w:t>
      </w:r>
      <w:proofErr w:type="spellEnd"/>
      <w:r w:rsidRPr="00CE119F">
        <w:rPr>
          <w:rFonts w:ascii="Calibri" w:eastAsia="Times New Roman" w:hAnsi="Calibri" w:cs="Times New Roman"/>
          <w:sz w:val="24"/>
          <w:szCs w:val="24"/>
        </w:rPr>
        <w:t xml:space="preserve">, I., &amp; </w:t>
      </w:r>
      <w:proofErr w:type="spellStart"/>
      <w:r w:rsidRPr="00CE119F">
        <w:rPr>
          <w:rFonts w:ascii="Calibri" w:eastAsia="Times New Roman" w:hAnsi="Calibri" w:cs="Times New Roman"/>
          <w:sz w:val="24"/>
          <w:szCs w:val="24"/>
        </w:rPr>
        <w:t>Gerriets</w:t>
      </w:r>
      <w:proofErr w:type="spellEnd"/>
      <w:r w:rsidRPr="00CE119F">
        <w:rPr>
          <w:rFonts w:ascii="Calibri" w:eastAsia="Times New Roman" w:hAnsi="Calibri" w:cs="Times New Roman"/>
          <w:sz w:val="24"/>
          <w:szCs w:val="24"/>
        </w:rPr>
        <w:t>, V. (2019). Nonsteroidal anti-inflammatory drugs (NSAIDs).</w:t>
      </w:r>
    </w:p>
    <w:p w14:paraId="0000002B" w14:textId="31D74432" w:rsidR="00970D5C" w:rsidRPr="00CE119F" w:rsidRDefault="005F49DF">
      <w:pPr>
        <w:widowControl w:val="0"/>
        <w:spacing w:line="480" w:lineRule="auto"/>
        <w:rPr>
          <w:rFonts w:ascii="Calibri" w:eastAsia="Times New Roman" w:hAnsi="Calibri" w:cs="Times New Roman"/>
          <w:sz w:val="24"/>
          <w:szCs w:val="24"/>
        </w:rPr>
      </w:pPr>
      <w:r w:rsidRPr="00CE119F">
        <w:rPr>
          <w:rFonts w:ascii="Calibri" w:eastAsia="Times New Roman" w:hAnsi="Calibri" w:cs="Times New Roman"/>
          <w:sz w:val="24"/>
          <w:szCs w:val="24"/>
        </w:rPr>
        <w:t xml:space="preserve">Jankowski, M., </w:t>
      </w:r>
      <w:proofErr w:type="spellStart"/>
      <w:r w:rsidRPr="00CE119F">
        <w:rPr>
          <w:rFonts w:ascii="Calibri" w:eastAsia="Times New Roman" w:hAnsi="Calibri" w:cs="Times New Roman"/>
          <w:sz w:val="24"/>
          <w:szCs w:val="24"/>
        </w:rPr>
        <w:t>Spużak</w:t>
      </w:r>
      <w:proofErr w:type="spellEnd"/>
      <w:r w:rsidRPr="00CE119F">
        <w:rPr>
          <w:rFonts w:ascii="Calibri" w:eastAsia="Times New Roman" w:hAnsi="Calibri" w:cs="Times New Roman"/>
          <w:sz w:val="24"/>
          <w:szCs w:val="24"/>
        </w:rPr>
        <w:t xml:space="preserve">, J., Kubiak, K., </w:t>
      </w:r>
      <w:proofErr w:type="spellStart"/>
      <w:r w:rsidRPr="00CE119F">
        <w:rPr>
          <w:rFonts w:ascii="Calibri" w:eastAsia="Times New Roman" w:hAnsi="Calibri" w:cs="Times New Roman"/>
          <w:sz w:val="24"/>
          <w:szCs w:val="24"/>
        </w:rPr>
        <w:t>Glińska-Suchocka</w:t>
      </w:r>
      <w:proofErr w:type="spellEnd"/>
      <w:r w:rsidRPr="00CE119F">
        <w:rPr>
          <w:rFonts w:ascii="Calibri" w:eastAsia="Times New Roman" w:hAnsi="Calibri" w:cs="Times New Roman"/>
          <w:sz w:val="24"/>
          <w:szCs w:val="24"/>
        </w:rPr>
        <w:t xml:space="preserve">, K., </w:t>
      </w:r>
      <w:proofErr w:type="spellStart"/>
      <w:r w:rsidRPr="00CE119F">
        <w:rPr>
          <w:rFonts w:ascii="Calibri" w:eastAsia="Times New Roman" w:hAnsi="Calibri" w:cs="Times New Roman"/>
          <w:sz w:val="24"/>
          <w:szCs w:val="24"/>
        </w:rPr>
        <w:t>Biernat</w:t>
      </w:r>
      <w:proofErr w:type="spellEnd"/>
      <w:r w:rsidRPr="00CE119F">
        <w:rPr>
          <w:rFonts w:ascii="Calibri" w:eastAsia="Times New Roman" w:hAnsi="Calibri" w:cs="Times New Roman"/>
          <w:sz w:val="24"/>
          <w:szCs w:val="24"/>
        </w:rPr>
        <w:t xml:space="preserve">, M., &amp; </w:t>
      </w:r>
      <w:proofErr w:type="spellStart"/>
      <w:r w:rsidRPr="00CE119F">
        <w:rPr>
          <w:rFonts w:ascii="Calibri" w:eastAsia="Times New Roman" w:hAnsi="Calibri" w:cs="Times New Roman"/>
          <w:sz w:val="24"/>
          <w:szCs w:val="24"/>
        </w:rPr>
        <w:t>Kiełbowicz</w:t>
      </w:r>
      <w:proofErr w:type="spellEnd"/>
      <w:r w:rsidRPr="00CE119F">
        <w:rPr>
          <w:rFonts w:ascii="Calibri" w:eastAsia="Times New Roman" w:hAnsi="Calibri" w:cs="Times New Roman"/>
          <w:sz w:val="24"/>
          <w:szCs w:val="24"/>
        </w:rPr>
        <w:t xml:space="preserve">, Z. (2015). Risk </w:t>
      </w:r>
      <w:r w:rsidR="00D72629" w:rsidRPr="00CE119F">
        <w:rPr>
          <w:rFonts w:ascii="Calibri" w:eastAsia="Times New Roman" w:hAnsi="Calibri" w:cs="Times New Roman"/>
          <w:sz w:val="24"/>
          <w:szCs w:val="24"/>
        </w:rPr>
        <w:t>f</w:t>
      </w:r>
      <w:r w:rsidRPr="00CE119F">
        <w:rPr>
          <w:rFonts w:ascii="Calibri" w:eastAsia="Times New Roman" w:hAnsi="Calibri" w:cs="Times New Roman"/>
          <w:sz w:val="24"/>
          <w:szCs w:val="24"/>
        </w:rPr>
        <w:t xml:space="preserve">actors of </w:t>
      </w:r>
      <w:r w:rsidR="00D72629" w:rsidRPr="00CE119F">
        <w:rPr>
          <w:rFonts w:ascii="Calibri" w:eastAsia="Times New Roman" w:hAnsi="Calibri" w:cs="Times New Roman"/>
          <w:sz w:val="24"/>
          <w:szCs w:val="24"/>
        </w:rPr>
        <w:t>g</w:t>
      </w:r>
      <w:r w:rsidRPr="00CE119F">
        <w:rPr>
          <w:rFonts w:ascii="Calibri" w:eastAsia="Times New Roman" w:hAnsi="Calibri" w:cs="Times New Roman"/>
          <w:sz w:val="24"/>
          <w:szCs w:val="24"/>
        </w:rPr>
        <w:t xml:space="preserve">astric </w:t>
      </w:r>
      <w:r w:rsidR="00D72629" w:rsidRPr="00CE119F">
        <w:rPr>
          <w:rFonts w:ascii="Calibri" w:eastAsia="Times New Roman" w:hAnsi="Calibri" w:cs="Times New Roman"/>
          <w:sz w:val="24"/>
          <w:szCs w:val="24"/>
        </w:rPr>
        <w:t>u</w:t>
      </w:r>
      <w:r w:rsidRPr="00CE119F">
        <w:rPr>
          <w:rFonts w:ascii="Calibri" w:eastAsia="Times New Roman" w:hAnsi="Calibri" w:cs="Times New Roman"/>
          <w:sz w:val="24"/>
          <w:szCs w:val="24"/>
        </w:rPr>
        <w:t xml:space="preserve">lcers in dogs. </w:t>
      </w:r>
      <w:r w:rsidRPr="00CE119F">
        <w:rPr>
          <w:rFonts w:ascii="Calibri" w:eastAsia="Times New Roman" w:hAnsi="Calibri" w:cs="Times New Roman"/>
          <w:i/>
          <w:sz w:val="24"/>
          <w:szCs w:val="24"/>
        </w:rPr>
        <w:t>Pakistan Veterinary Journal</w:t>
      </w:r>
      <w:r w:rsidRPr="00CE119F">
        <w:rPr>
          <w:rFonts w:ascii="Calibri" w:eastAsia="Times New Roman" w:hAnsi="Calibri" w:cs="Times New Roman"/>
          <w:sz w:val="24"/>
          <w:szCs w:val="24"/>
        </w:rPr>
        <w:t xml:space="preserve">, </w:t>
      </w:r>
      <w:r w:rsidRPr="00CE119F">
        <w:rPr>
          <w:rFonts w:ascii="Calibri" w:eastAsia="Times New Roman" w:hAnsi="Calibri" w:cs="Times New Roman"/>
          <w:i/>
          <w:sz w:val="24"/>
          <w:szCs w:val="24"/>
        </w:rPr>
        <w:t>35</w:t>
      </w:r>
      <w:r w:rsidRPr="00CE119F">
        <w:rPr>
          <w:rFonts w:ascii="Calibri" w:eastAsia="Times New Roman" w:hAnsi="Calibri" w:cs="Times New Roman"/>
          <w:sz w:val="24"/>
          <w:szCs w:val="24"/>
        </w:rPr>
        <w:t>(1), 93-97.</w:t>
      </w:r>
    </w:p>
    <w:p w14:paraId="0000002C" w14:textId="77777777" w:rsidR="00970D5C" w:rsidRPr="00CE119F" w:rsidRDefault="005F49DF">
      <w:pPr>
        <w:widowControl w:val="0"/>
        <w:spacing w:line="480" w:lineRule="auto"/>
        <w:rPr>
          <w:rFonts w:ascii="Calibri" w:eastAsia="Times New Roman" w:hAnsi="Calibri" w:cs="Times New Roman"/>
          <w:sz w:val="24"/>
          <w:szCs w:val="24"/>
        </w:rPr>
      </w:pPr>
      <w:r w:rsidRPr="00CE119F">
        <w:rPr>
          <w:rFonts w:ascii="Calibri" w:eastAsia="Times New Roman" w:hAnsi="Calibri" w:cs="Times New Roman"/>
          <w:sz w:val="24"/>
          <w:szCs w:val="24"/>
        </w:rPr>
        <w:t xml:space="preserve">Khan, S. A., &amp; McLean, M. K. (2012). Toxicology of frequently encountered nonsteroidal anti-inflammatory drugs in dogs and cats. </w:t>
      </w:r>
      <w:r w:rsidRPr="00CE119F">
        <w:rPr>
          <w:rFonts w:ascii="Calibri" w:eastAsia="Times New Roman" w:hAnsi="Calibri" w:cs="Times New Roman"/>
          <w:i/>
          <w:sz w:val="24"/>
          <w:szCs w:val="24"/>
        </w:rPr>
        <w:t>Veterinary Clinics: Small Animal Practice</w:t>
      </w:r>
      <w:r w:rsidRPr="00CE119F">
        <w:rPr>
          <w:rFonts w:ascii="Calibri" w:eastAsia="Times New Roman" w:hAnsi="Calibri" w:cs="Times New Roman"/>
          <w:sz w:val="24"/>
          <w:szCs w:val="24"/>
        </w:rPr>
        <w:t xml:space="preserve">, </w:t>
      </w:r>
      <w:r w:rsidRPr="00CE119F">
        <w:rPr>
          <w:rFonts w:ascii="Calibri" w:eastAsia="Times New Roman" w:hAnsi="Calibri" w:cs="Times New Roman"/>
          <w:i/>
          <w:sz w:val="24"/>
          <w:szCs w:val="24"/>
        </w:rPr>
        <w:t>42</w:t>
      </w:r>
      <w:r w:rsidRPr="00CE119F">
        <w:rPr>
          <w:rFonts w:ascii="Calibri" w:eastAsia="Times New Roman" w:hAnsi="Calibri" w:cs="Times New Roman"/>
          <w:sz w:val="24"/>
          <w:szCs w:val="24"/>
        </w:rPr>
        <w:t>(2), 289-306.</w:t>
      </w:r>
    </w:p>
    <w:p w14:paraId="0000002D" w14:textId="155A832F" w:rsidR="00970D5C" w:rsidRPr="00CE119F" w:rsidRDefault="005F49DF">
      <w:pPr>
        <w:widowControl w:val="0"/>
        <w:spacing w:line="480" w:lineRule="auto"/>
        <w:rPr>
          <w:rFonts w:ascii="Calibri" w:eastAsia="Times New Roman" w:hAnsi="Calibri" w:cs="Times New Roman"/>
          <w:sz w:val="24"/>
          <w:szCs w:val="24"/>
        </w:rPr>
      </w:pPr>
      <w:r w:rsidRPr="00CE119F">
        <w:rPr>
          <w:rFonts w:ascii="Calibri" w:eastAsia="Times New Roman" w:hAnsi="Calibri" w:cs="Times New Roman"/>
          <w:sz w:val="24"/>
          <w:szCs w:val="24"/>
        </w:rPr>
        <w:t xml:space="preserve">Kurt, D., </w:t>
      </w:r>
      <w:proofErr w:type="spellStart"/>
      <w:r w:rsidRPr="00CE119F">
        <w:rPr>
          <w:rFonts w:ascii="Calibri" w:eastAsia="Times New Roman" w:hAnsi="Calibri" w:cs="Times New Roman"/>
          <w:sz w:val="24"/>
          <w:szCs w:val="24"/>
        </w:rPr>
        <w:t>Saruhan</w:t>
      </w:r>
      <w:proofErr w:type="spellEnd"/>
      <w:r w:rsidRPr="00CE119F">
        <w:rPr>
          <w:rFonts w:ascii="Calibri" w:eastAsia="Times New Roman" w:hAnsi="Calibri" w:cs="Times New Roman"/>
          <w:sz w:val="24"/>
          <w:szCs w:val="24"/>
        </w:rPr>
        <w:t xml:space="preserve">, B. G., </w:t>
      </w:r>
      <w:proofErr w:type="spellStart"/>
      <w:r w:rsidRPr="00CE119F">
        <w:rPr>
          <w:rFonts w:ascii="Calibri" w:eastAsia="Times New Roman" w:hAnsi="Calibri" w:cs="Times New Roman"/>
          <w:sz w:val="24"/>
          <w:szCs w:val="24"/>
        </w:rPr>
        <w:t>Kanay</w:t>
      </w:r>
      <w:proofErr w:type="spellEnd"/>
      <w:r w:rsidRPr="00CE119F">
        <w:rPr>
          <w:rFonts w:ascii="Calibri" w:eastAsia="Times New Roman" w:hAnsi="Calibri" w:cs="Times New Roman"/>
          <w:sz w:val="24"/>
          <w:szCs w:val="24"/>
        </w:rPr>
        <w:t xml:space="preserve">, Z., </w:t>
      </w:r>
      <w:proofErr w:type="spellStart"/>
      <w:r w:rsidRPr="00CE119F">
        <w:rPr>
          <w:rFonts w:ascii="Calibri" w:eastAsia="Times New Roman" w:hAnsi="Calibri" w:cs="Times New Roman"/>
          <w:sz w:val="24"/>
          <w:szCs w:val="24"/>
        </w:rPr>
        <w:t>Yokus</w:t>
      </w:r>
      <w:proofErr w:type="spellEnd"/>
      <w:r w:rsidRPr="00CE119F">
        <w:rPr>
          <w:rFonts w:ascii="Calibri" w:eastAsia="Times New Roman" w:hAnsi="Calibri" w:cs="Times New Roman"/>
          <w:sz w:val="24"/>
          <w:szCs w:val="24"/>
        </w:rPr>
        <w:t xml:space="preserve">, B., </w:t>
      </w:r>
      <w:proofErr w:type="spellStart"/>
      <w:r w:rsidRPr="00CE119F">
        <w:rPr>
          <w:rFonts w:ascii="Calibri" w:eastAsia="Times New Roman" w:hAnsi="Calibri" w:cs="Times New Roman"/>
          <w:sz w:val="24"/>
          <w:szCs w:val="24"/>
        </w:rPr>
        <w:t>Kanay</w:t>
      </w:r>
      <w:proofErr w:type="spellEnd"/>
      <w:r w:rsidRPr="00CE119F">
        <w:rPr>
          <w:rFonts w:ascii="Calibri" w:eastAsia="Times New Roman" w:hAnsi="Calibri" w:cs="Times New Roman"/>
          <w:sz w:val="24"/>
          <w:szCs w:val="24"/>
        </w:rPr>
        <w:t xml:space="preserve">, B. E., Unver, O., &amp; </w:t>
      </w:r>
      <w:proofErr w:type="spellStart"/>
      <w:r w:rsidRPr="00CE119F">
        <w:rPr>
          <w:rFonts w:ascii="Calibri" w:eastAsia="Times New Roman" w:hAnsi="Calibri" w:cs="Times New Roman"/>
          <w:sz w:val="24"/>
          <w:szCs w:val="24"/>
        </w:rPr>
        <w:t>Hatipoglu</w:t>
      </w:r>
      <w:proofErr w:type="spellEnd"/>
      <w:r w:rsidRPr="00CE119F">
        <w:rPr>
          <w:rFonts w:ascii="Calibri" w:eastAsia="Times New Roman" w:hAnsi="Calibri" w:cs="Times New Roman"/>
          <w:sz w:val="24"/>
          <w:szCs w:val="24"/>
        </w:rPr>
        <w:t xml:space="preserve">, S. (2007). Effect of ovariectomy and female sex hormones administration upon gastric ulceration induced by cold and immobility restraint stress. </w:t>
      </w:r>
      <w:r w:rsidRPr="00CE119F">
        <w:rPr>
          <w:rFonts w:ascii="Calibri" w:eastAsia="Times New Roman" w:hAnsi="Calibri" w:cs="Times New Roman"/>
          <w:i/>
          <w:sz w:val="24"/>
          <w:szCs w:val="24"/>
        </w:rPr>
        <w:t xml:space="preserve">Saudi </w:t>
      </w:r>
      <w:r w:rsidR="00D72629" w:rsidRPr="00CE119F">
        <w:rPr>
          <w:rFonts w:ascii="Calibri" w:eastAsia="Times New Roman" w:hAnsi="Calibri" w:cs="Times New Roman"/>
          <w:i/>
          <w:sz w:val="24"/>
          <w:szCs w:val="24"/>
        </w:rPr>
        <w:t>M</w:t>
      </w:r>
      <w:r w:rsidRPr="00CE119F">
        <w:rPr>
          <w:rFonts w:ascii="Calibri" w:eastAsia="Times New Roman" w:hAnsi="Calibri" w:cs="Times New Roman"/>
          <w:i/>
          <w:sz w:val="24"/>
          <w:szCs w:val="24"/>
        </w:rPr>
        <w:t xml:space="preserve">edical </w:t>
      </w:r>
      <w:r w:rsidR="00D72629" w:rsidRPr="00CE119F">
        <w:rPr>
          <w:rFonts w:ascii="Calibri" w:eastAsia="Times New Roman" w:hAnsi="Calibri" w:cs="Times New Roman"/>
          <w:i/>
          <w:sz w:val="24"/>
          <w:szCs w:val="24"/>
        </w:rPr>
        <w:t>J</w:t>
      </w:r>
      <w:r w:rsidRPr="00CE119F">
        <w:rPr>
          <w:rFonts w:ascii="Calibri" w:eastAsia="Times New Roman" w:hAnsi="Calibri" w:cs="Times New Roman"/>
          <w:i/>
          <w:sz w:val="24"/>
          <w:szCs w:val="24"/>
        </w:rPr>
        <w:t>ournal</w:t>
      </w:r>
      <w:r w:rsidRPr="00CE119F">
        <w:rPr>
          <w:rFonts w:ascii="Calibri" w:eastAsia="Times New Roman" w:hAnsi="Calibri" w:cs="Times New Roman"/>
          <w:sz w:val="24"/>
          <w:szCs w:val="24"/>
        </w:rPr>
        <w:t xml:space="preserve">, </w:t>
      </w:r>
      <w:r w:rsidRPr="00CE119F">
        <w:rPr>
          <w:rFonts w:ascii="Calibri" w:eastAsia="Times New Roman" w:hAnsi="Calibri" w:cs="Times New Roman"/>
          <w:i/>
          <w:sz w:val="24"/>
          <w:szCs w:val="24"/>
        </w:rPr>
        <w:t>28</w:t>
      </w:r>
      <w:r w:rsidRPr="00CE119F">
        <w:rPr>
          <w:rFonts w:ascii="Calibri" w:eastAsia="Times New Roman" w:hAnsi="Calibri" w:cs="Times New Roman"/>
          <w:sz w:val="24"/>
          <w:szCs w:val="24"/>
        </w:rPr>
        <w:t>(7), 1021-1027</w:t>
      </w:r>
    </w:p>
    <w:p w14:paraId="0000002E" w14:textId="107E663D" w:rsidR="00970D5C" w:rsidRPr="00CE119F" w:rsidRDefault="005F49DF">
      <w:pPr>
        <w:widowControl w:val="0"/>
        <w:spacing w:line="480" w:lineRule="auto"/>
        <w:rPr>
          <w:rFonts w:ascii="Calibri" w:eastAsia="Times New Roman" w:hAnsi="Calibri" w:cs="Times New Roman"/>
          <w:sz w:val="24"/>
          <w:szCs w:val="24"/>
        </w:rPr>
      </w:pPr>
      <w:r w:rsidRPr="00CE119F">
        <w:rPr>
          <w:rFonts w:ascii="Calibri" w:eastAsia="Times New Roman" w:hAnsi="Calibri" w:cs="Times New Roman"/>
          <w:sz w:val="24"/>
          <w:szCs w:val="24"/>
        </w:rPr>
        <w:t xml:space="preserve">Monteiro‐Steagall, B. P., Steagall, P. V. M., &amp; Lascelles, B. D. X. (2013). Systematic review of nonsteroidal anti‐inflammatory drug‐induced adverse effects in dogs. </w:t>
      </w:r>
      <w:r w:rsidRPr="00CE119F">
        <w:rPr>
          <w:rFonts w:ascii="Calibri" w:eastAsia="Times New Roman" w:hAnsi="Calibri" w:cs="Times New Roman"/>
          <w:i/>
          <w:sz w:val="24"/>
          <w:szCs w:val="24"/>
        </w:rPr>
        <w:t xml:space="preserve">Journal of </w:t>
      </w:r>
      <w:r w:rsidR="00D72629" w:rsidRPr="00CE119F">
        <w:rPr>
          <w:rFonts w:ascii="Calibri" w:eastAsia="Times New Roman" w:hAnsi="Calibri" w:cs="Times New Roman"/>
          <w:i/>
          <w:sz w:val="24"/>
          <w:szCs w:val="24"/>
        </w:rPr>
        <w:t>V</w:t>
      </w:r>
      <w:r w:rsidRPr="00CE119F">
        <w:rPr>
          <w:rFonts w:ascii="Calibri" w:eastAsia="Times New Roman" w:hAnsi="Calibri" w:cs="Times New Roman"/>
          <w:i/>
          <w:sz w:val="24"/>
          <w:szCs w:val="24"/>
        </w:rPr>
        <w:t xml:space="preserve">eterinary </w:t>
      </w:r>
      <w:r w:rsidR="00D72629" w:rsidRPr="00CE119F">
        <w:rPr>
          <w:rFonts w:ascii="Calibri" w:eastAsia="Times New Roman" w:hAnsi="Calibri" w:cs="Times New Roman"/>
          <w:i/>
          <w:sz w:val="24"/>
          <w:szCs w:val="24"/>
        </w:rPr>
        <w:lastRenderedPageBreak/>
        <w:t>I</w:t>
      </w:r>
      <w:r w:rsidRPr="00CE119F">
        <w:rPr>
          <w:rFonts w:ascii="Calibri" w:eastAsia="Times New Roman" w:hAnsi="Calibri" w:cs="Times New Roman"/>
          <w:i/>
          <w:sz w:val="24"/>
          <w:szCs w:val="24"/>
        </w:rPr>
        <w:t>nternal</w:t>
      </w:r>
      <w:r w:rsidR="00D72629" w:rsidRPr="00CE119F">
        <w:rPr>
          <w:rFonts w:ascii="Calibri" w:eastAsia="Times New Roman" w:hAnsi="Calibri" w:cs="Times New Roman"/>
          <w:i/>
          <w:sz w:val="24"/>
          <w:szCs w:val="24"/>
        </w:rPr>
        <w:t xml:space="preserve"> M</w:t>
      </w:r>
      <w:r w:rsidRPr="00CE119F">
        <w:rPr>
          <w:rFonts w:ascii="Calibri" w:eastAsia="Times New Roman" w:hAnsi="Calibri" w:cs="Times New Roman"/>
          <w:i/>
          <w:sz w:val="24"/>
          <w:szCs w:val="24"/>
        </w:rPr>
        <w:t>edicine</w:t>
      </w:r>
      <w:r w:rsidRPr="00CE119F">
        <w:rPr>
          <w:rFonts w:ascii="Calibri" w:eastAsia="Times New Roman" w:hAnsi="Calibri" w:cs="Times New Roman"/>
          <w:sz w:val="24"/>
          <w:szCs w:val="24"/>
        </w:rPr>
        <w:t xml:space="preserve">, </w:t>
      </w:r>
      <w:r w:rsidRPr="00CE119F">
        <w:rPr>
          <w:rFonts w:ascii="Calibri" w:eastAsia="Times New Roman" w:hAnsi="Calibri" w:cs="Times New Roman"/>
          <w:i/>
          <w:sz w:val="24"/>
          <w:szCs w:val="24"/>
        </w:rPr>
        <w:t>27</w:t>
      </w:r>
      <w:r w:rsidRPr="00CE119F">
        <w:rPr>
          <w:rFonts w:ascii="Calibri" w:eastAsia="Times New Roman" w:hAnsi="Calibri" w:cs="Times New Roman"/>
          <w:sz w:val="24"/>
          <w:szCs w:val="24"/>
        </w:rPr>
        <w:t>(5), 1011-1019.</w:t>
      </w:r>
    </w:p>
    <w:p w14:paraId="0000002F" w14:textId="77777777" w:rsidR="00970D5C" w:rsidRPr="00CE119F" w:rsidRDefault="005F49DF">
      <w:pPr>
        <w:widowControl w:val="0"/>
        <w:spacing w:line="480" w:lineRule="auto"/>
        <w:rPr>
          <w:rFonts w:ascii="Calibri" w:eastAsia="Times New Roman" w:hAnsi="Calibri" w:cs="Times New Roman"/>
          <w:sz w:val="24"/>
          <w:szCs w:val="24"/>
        </w:rPr>
      </w:pPr>
      <w:r w:rsidRPr="00CE119F">
        <w:rPr>
          <w:rFonts w:ascii="Calibri" w:eastAsia="Times New Roman" w:hAnsi="Calibri" w:cs="Times New Roman"/>
          <w:sz w:val="24"/>
          <w:szCs w:val="24"/>
        </w:rPr>
        <w:t>Plumb, D.C. Meloxicam. Plumb’s Veterinary Drugs. https://academic.plumbs.com/drug-monograph/QKyHusjUbePROD?source=search&amp;searchQuery=meloxicam. Updated June 2022. Accessed December 31, 2023.</w:t>
      </w:r>
    </w:p>
    <w:sectPr w:rsidR="00970D5C" w:rsidRPr="00CE119F">
      <w:headerReference w:type="even" r:id="rId6"/>
      <w:headerReference w:type="default" r:id="rId7"/>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E2FC38" w14:textId="77777777" w:rsidR="00197E9A" w:rsidRDefault="00197E9A">
      <w:pPr>
        <w:spacing w:line="240" w:lineRule="auto"/>
      </w:pPr>
      <w:r>
        <w:separator/>
      </w:r>
    </w:p>
  </w:endnote>
  <w:endnote w:type="continuationSeparator" w:id="0">
    <w:p w14:paraId="38AB6822" w14:textId="77777777" w:rsidR="00197E9A" w:rsidRDefault="00197E9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30" w14:textId="77777777" w:rsidR="00970D5C" w:rsidRDefault="00970D5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00EB8D" w14:textId="77777777" w:rsidR="00197E9A" w:rsidRDefault="00197E9A">
      <w:pPr>
        <w:spacing w:line="240" w:lineRule="auto"/>
      </w:pPr>
      <w:r>
        <w:separator/>
      </w:r>
    </w:p>
  </w:footnote>
  <w:footnote w:type="continuationSeparator" w:id="0">
    <w:p w14:paraId="303D9363" w14:textId="77777777" w:rsidR="00197E9A" w:rsidRDefault="00197E9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559214279"/>
      <w:docPartObj>
        <w:docPartGallery w:val="Page Numbers (Top of Page)"/>
        <w:docPartUnique/>
      </w:docPartObj>
    </w:sdtPr>
    <w:sdtEndPr>
      <w:rPr>
        <w:rStyle w:val="PageNumber"/>
      </w:rPr>
    </w:sdtEndPr>
    <w:sdtContent>
      <w:p w14:paraId="3F62208E" w14:textId="1E1138E4" w:rsidR="00BA09DB" w:rsidRDefault="00BA09DB" w:rsidP="00A60DC2">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EC61009" w14:textId="77777777" w:rsidR="00BA09DB" w:rsidRDefault="00BA09DB" w:rsidP="00BA09DB">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967880171"/>
      <w:docPartObj>
        <w:docPartGallery w:val="Page Numbers (Top of Page)"/>
        <w:docPartUnique/>
      </w:docPartObj>
    </w:sdtPr>
    <w:sdtEndPr>
      <w:rPr>
        <w:rStyle w:val="PageNumber"/>
      </w:rPr>
    </w:sdtEndPr>
    <w:sdtContent>
      <w:p w14:paraId="2DCC12E7" w14:textId="1679594B" w:rsidR="00BA09DB" w:rsidRDefault="00BA09DB" w:rsidP="00A60DC2">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4218DC">
          <w:rPr>
            <w:rStyle w:val="PageNumber"/>
            <w:noProof/>
          </w:rPr>
          <w:t>11</w:t>
        </w:r>
        <w:r>
          <w:rPr>
            <w:rStyle w:val="PageNumber"/>
          </w:rPr>
          <w:fldChar w:fldCharType="end"/>
        </w:r>
      </w:p>
    </w:sdtContent>
  </w:sdt>
  <w:p w14:paraId="5C3D1143" w14:textId="77777777" w:rsidR="00BA09DB" w:rsidRDefault="00BA09DB" w:rsidP="00BA09DB">
    <w:pPr>
      <w:pStyle w:val="Header"/>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0D5C"/>
    <w:rsid w:val="00066CCF"/>
    <w:rsid w:val="000922C7"/>
    <w:rsid w:val="00197E9A"/>
    <w:rsid w:val="001D6793"/>
    <w:rsid w:val="00394B37"/>
    <w:rsid w:val="003C0992"/>
    <w:rsid w:val="004218DC"/>
    <w:rsid w:val="00523214"/>
    <w:rsid w:val="005C763D"/>
    <w:rsid w:val="005D17E3"/>
    <w:rsid w:val="005F49DF"/>
    <w:rsid w:val="00882B8D"/>
    <w:rsid w:val="008B4C0B"/>
    <w:rsid w:val="00970D5C"/>
    <w:rsid w:val="00AC62D0"/>
    <w:rsid w:val="00B23588"/>
    <w:rsid w:val="00B6534A"/>
    <w:rsid w:val="00BA09DB"/>
    <w:rsid w:val="00C14F9F"/>
    <w:rsid w:val="00CE119F"/>
    <w:rsid w:val="00CF153A"/>
    <w:rsid w:val="00D05DEC"/>
    <w:rsid w:val="00D261E1"/>
    <w:rsid w:val="00D72629"/>
    <w:rsid w:val="00E40FBE"/>
    <w:rsid w:val="00EC73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635169"/>
  <w15:docId w15:val="{3B29B31F-9BE2-0749-9E59-E45AAB4A8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LineNumber">
    <w:name w:val="line number"/>
    <w:basedOn w:val="DefaultParagraphFont"/>
    <w:uiPriority w:val="99"/>
    <w:semiHidden/>
    <w:unhideWhenUsed/>
    <w:rsid w:val="00BA09DB"/>
  </w:style>
  <w:style w:type="paragraph" w:styleId="Header">
    <w:name w:val="header"/>
    <w:basedOn w:val="Normal"/>
    <w:link w:val="HeaderChar"/>
    <w:uiPriority w:val="99"/>
    <w:unhideWhenUsed/>
    <w:rsid w:val="00BA09DB"/>
    <w:pPr>
      <w:tabs>
        <w:tab w:val="center" w:pos="4680"/>
        <w:tab w:val="right" w:pos="9360"/>
      </w:tabs>
      <w:spacing w:line="240" w:lineRule="auto"/>
    </w:pPr>
  </w:style>
  <w:style w:type="character" w:customStyle="1" w:styleId="HeaderChar">
    <w:name w:val="Header Char"/>
    <w:basedOn w:val="DefaultParagraphFont"/>
    <w:link w:val="Header"/>
    <w:uiPriority w:val="99"/>
    <w:rsid w:val="00BA09DB"/>
  </w:style>
  <w:style w:type="character" w:styleId="PageNumber">
    <w:name w:val="page number"/>
    <w:basedOn w:val="DefaultParagraphFont"/>
    <w:uiPriority w:val="99"/>
    <w:semiHidden/>
    <w:unhideWhenUsed/>
    <w:rsid w:val="00BA09DB"/>
  </w:style>
  <w:style w:type="character" w:styleId="CommentReference">
    <w:name w:val="annotation reference"/>
    <w:basedOn w:val="DefaultParagraphFont"/>
    <w:uiPriority w:val="99"/>
    <w:semiHidden/>
    <w:unhideWhenUsed/>
    <w:rsid w:val="00AC62D0"/>
    <w:rPr>
      <w:sz w:val="16"/>
      <w:szCs w:val="16"/>
    </w:rPr>
  </w:style>
  <w:style w:type="paragraph" w:styleId="CommentText">
    <w:name w:val="annotation text"/>
    <w:basedOn w:val="Normal"/>
    <w:link w:val="CommentTextChar"/>
    <w:uiPriority w:val="99"/>
    <w:semiHidden/>
    <w:unhideWhenUsed/>
    <w:rsid w:val="00AC62D0"/>
    <w:pPr>
      <w:spacing w:line="240" w:lineRule="auto"/>
    </w:pPr>
    <w:rPr>
      <w:sz w:val="20"/>
      <w:szCs w:val="20"/>
    </w:rPr>
  </w:style>
  <w:style w:type="character" w:customStyle="1" w:styleId="CommentTextChar">
    <w:name w:val="Comment Text Char"/>
    <w:basedOn w:val="DefaultParagraphFont"/>
    <w:link w:val="CommentText"/>
    <w:uiPriority w:val="99"/>
    <w:semiHidden/>
    <w:rsid w:val="00AC62D0"/>
    <w:rPr>
      <w:sz w:val="20"/>
      <w:szCs w:val="20"/>
    </w:rPr>
  </w:style>
  <w:style w:type="paragraph" w:styleId="CommentSubject">
    <w:name w:val="annotation subject"/>
    <w:basedOn w:val="CommentText"/>
    <w:next w:val="CommentText"/>
    <w:link w:val="CommentSubjectChar"/>
    <w:uiPriority w:val="99"/>
    <w:semiHidden/>
    <w:unhideWhenUsed/>
    <w:rsid w:val="00AC62D0"/>
    <w:rPr>
      <w:b/>
      <w:bCs/>
    </w:rPr>
  </w:style>
  <w:style w:type="character" w:customStyle="1" w:styleId="CommentSubjectChar">
    <w:name w:val="Comment Subject Char"/>
    <w:basedOn w:val="CommentTextChar"/>
    <w:link w:val="CommentSubject"/>
    <w:uiPriority w:val="99"/>
    <w:semiHidden/>
    <w:rsid w:val="00AC62D0"/>
    <w:rPr>
      <w:b/>
      <w:bCs/>
      <w:sz w:val="20"/>
      <w:szCs w:val="20"/>
    </w:rPr>
  </w:style>
  <w:style w:type="paragraph" w:styleId="BalloonText">
    <w:name w:val="Balloon Text"/>
    <w:basedOn w:val="Normal"/>
    <w:link w:val="BalloonTextChar"/>
    <w:uiPriority w:val="99"/>
    <w:semiHidden/>
    <w:unhideWhenUsed/>
    <w:rsid w:val="00EC736B"/>
    <w:pPr>
      <w:spacing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EC736B"/>
    <w:rPr>
      <w:rFonts w:ascii="Times New Roman" w:hAnsi="Times New Roman" w:cs="Times New Roman"/>
      <w:sz w:val="18"/>
      <w:szCs w:val="18"/>
    </w:rPr>
  </w:style>
  <w:style w:type="paragraph" w:styleId="Revision">
    <w:name w:val="Revision"/>
    <w:hidden/>
    <w:uiPriority w:val="99"/>
    <w:semiHidden/>
    <w:rsid w:val="00066CCF"/>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0235563">
      <w:bodyDiv w:val="1"/>
      <w:marLeft w:val="0"/>
      <w:marRight w:val="0"/>
      <w:marTop w:val="0"/>
      <w:marBottom w:val="0"/>
      <w:divBdr>
        <w:top w:val="none" w:sz="0" w:space="0" w:color="auto"/>
        <w:left w:val="none" w:sz="0" w:space="0" w:color="auto"/>
        <w:bottom w:val="none" w:sz="0" w:space="0" w:color="auto"/>
        <w:right w:val="none" w:sz="0" w:space="0" w:color="auto"/>
      </w:divBdr>
    </w:div>
    <w:div w:id="316880246">
      <w:bodyDiv w:val="1"/>
      <w:marLeft w:val="0"/>
      <w:marRight w:val="0"/>
      <w:marTop w:val="0"/>
      <w:marBottom w:val="0"/>
      <w:divBdr>
        <w:top w:val="none" w:sz="0" w:space="0" w:color="auto"/>
        <w:left w:val="none" w:sz="0" w:space="0" w:color="auto"/>
        <w:bottom w:val="none" w:sz="0" w:space="0" w:color="auto"/>
        <w:right w:val="none" w:sz="0" w:space="0" w:color="auto"/>
      </w:divBdr>
    </w:div>
    <w:div w:id="458114120">
      <w:bodyDiv w:val="1"/>
      <w:marLeft w:val="0"/>
      <w:marRight w:val="0"/>
      <w:marTop w:val="0"/>
      <w:marBottom w:val="0"/>
      <w:divBdr>
        <w:top w:val="none" w:sz="0" w:space="0" w:color="auto"/>
        <w:left w:val="none" w:sz="0" w:space="0" w:color="auto"/>
        <w:bottom w:val="none" w:sz="0" w:space="0" w:color="auto"/>
        <w:right w:val="none" w:sz="0" w:space="0" w:color="auto"/>
      </w:divBdr>
    </w:div>
    <w:div w:id="8964039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12</Pages>
  <Words>2561</Words>
  <Characters>14602</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Belen M Albarracin</cp:lastModifiedBy>
  <cp:revision>2</cp:revision>
  <dcterms:created xsi:type="dcterms:W3CDTF">2023-02-22T03:04:00Z</dcterms:created>
  <dcterms:modified xsi:type="dcterms:W3CDTF">2023-02-22T03:04:00Z</dcterms:modified>
</cp:coreProperties>
</file>